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浙江大学</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等保配套安全设备扩容建设</w:t>
      </w: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pPr>
        <w:spacing w:line="360" w:lineRule="auto"/>
        <w:rPr>
          <w:rFonts w:ascii="楷体" w:hAnsi="楷体" w:eastAsia="楷体"/>
          <w:b/>
          <w:spacing w:val="-6"/>
          <w:sz w:val="30"/>
          <w:szCs w:val="30"/>
        </w:rPr>
      </w:pPr>
    </w:p>
    <w:p>
      <w:pPr>
        <w:spacing w:line="360" w:lineRule="auto"/>
        <w:rPr>
          <w:rFonts w:ascii="楷体" w:hAnsi="楷体" w:eastAsia="楷体"/>
          <w:b/>
          <w:spacing w:val="-6"/>
          <w:sz w:val="30"/>
          <w:szCs w:val="30"/>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采 购 人：浙江大学</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项目名称：等保配套安全设备扩容建设</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项目编号：QSZB-Z(H)-A22241(GK)</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widowControl/>
        <w:jc w:val="left"/>
        <w:rPr>
          <w:rFonts w:ascii="楷体" w:hAnsi="楷体" w:eastAsia="楷体"/>
          <w:b/>
          <w:spacing w:val="-6"/>
          <w:sz w:val="30"/>
          <w:szCs w:val="30"/>
        </w:rPr>
      </w:pPr>
      <w:r>
        <w:rPr>
          <w:rFonts w:ascii="楷体" w:hAnsi="楷体" w:eastAsia="楷体"/>
          <w:b/>
          <w:spacing w:val="-6"/>
          <w:sz w:val="30"/>
          <w:szCs w:val="30"/>
        </w:rPr>
        <w:br w:type="page"/>
      </w:r>
    </w:p>
    <w:p>
      <w:pPr>
        <w:pStyle w:val="13"/>
        <w:spacing w:beforeLines="0" w:afterLines="0" w:line="288" w:lineRule="auto"/>
        <w:rPr>
          <w:rFonts w:ascii="楷体" w:hAnsi="楷体" w:eastAsia="楷体"/>
          <w:b/>
          <w:sz w:val="30"/>
          <w:szCs w:val="30"/>
        </w:rPr>
      </w:pPr>
    </w:p>
    <w:p>
      <w:pPr>
        <w:pStyle w:val="13"/>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3"/>
        <w:spacing w:beforeLines="0" w:afterLines="0" w:line="288" w:lineRule="auto"/>
        <w:rPr>
          <w:rFonts w:ascii="楷体" w:hAnsi="楷体" w:eastAsia="楷体"/>
          <w:b/>
          <w:sz w:val="30"/>
          <w:szCs w:val="30"/>
        </w:rPr>
      </w:pP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第一章</w:t>
      </w:r>
      <w:r>
        <w:rPr>
          <w:rFonts w:ascii="楷体" w:hAnsi="楷体" w:eastAsia="楷体"/>
          <w:b/>
          <w:spacing w:val="-6"/>
          <w:sz w:val="30"/>
          <w:szCs w:val="30"/>
        </w:rPr>
        <w:t xml:space="preserve">  </w:t>
      </w:r>
      <w:r>
        <w:rPr>
          <w:rFonts w:hint="eastAsia" w:ascii="楷体" w:hAnsi="楷体" w:eastAsia="楷体"/>
          <w:b/>
          <w:spacing w:val="-6"/>
          <w:sz w:val="30"/>
          <w:szCs w:val="30"/>
        </w:rPr>
        <w:t>投标邀请</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第二章</w:t>
      </w:r>
      <w:r>
        <w:rPr>
          <w:rFonts w:ascii="楷体" w:hAnsi="楷体" w:eastAsia="楷体"/>
          <w:b/>
          <w:spacing w:val="-6"/>
          <w:sz w:val="30"/>
          <w:szCs w:val="30"/>
        </w:rPr>
        <w:t xml:space="preserve">  </w:t>
      </w:r>
      <w:r>
        <w:rPr>
          <w:rFonts w:hint="eastAsia" w:ascii="楷体" w:hAnsi="楷体" w:eastAsia="楷体"/>
          <w:b/>
          <w:spacing w:val="-6"/>
          <w:sz w:val="30"/>
          <w:szCs w:val="30"/>
        </w:rPr>
        <w:t>采购需求</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第三章</w:t>
      </w:r>
      <w:r>
        <w:rPr>
          <w:rFonts w:ascii="楷体" w:hAnsi="楷体" w:eastAsia="楷体"/>
          <w:b/>
          <w:spacing w:val="-6"/>
          <w:sz w:val="30"/>
          <w:szCs w:val="30"/>
        </w:rPr>
        <w:t xml:space="preserve">  </w:t>
      </w:r>
      <w:r>
        <w:rPr>
          <w:rFonts w:hint="eastAsia" w:ascii="楷体" w:hAnsi="楷体" w:eastAsia="楷体"/>
          <w:b/>
          <w:spacing w:val="-6"/>
          <w:sz w:val="30"/>
          <w:szCs w:val="30"/>
        </w:rPr>
        <w:t>投标人须知</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第四章</w:t>
      </w:r>
      <w:r>
        <w:rPr>
          <w:rFonts w:ascii="楷体" w:hAnsi="楷体" w:eastAsia="楷体"/>
          <w:b/>
          <w:spacing w:val="-6"/>
          <w:sz w:val="30"/>
          <w:szCs w:val="30"/>
        </w:rPr>
        <w:t xml:space="preserve">  </w:t>
      </w:r>
      <w:r>
        <w:rPr>
          <w:rFonts w:hint="eastAsia" w:ascii="楷体" w:hAnsi="楷体" w:eastAsia="楷体"/>
          <w:b/>
          <w:spacing w:val="-6"/>
          <w:sz w:val="30"/>
          <w:szCs w:val="30"/>
        </w:rPr>
        <w:t>评标方法及评分标准</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 xml:space="preserve">第五章 </w:t>
      </w:r>
      <w:r>
        <w:rPr>
          <w:rFonts w:ascii="楷体" w:hAnsi="楷体" w:eastAsia="楷体"/>
          <w:b/>
          <w:spacing w:val="-6"/>
          <w:sz w:val="30"/>
          <w:szCs w:val="30"/>
        </w:rPr>
        <w:t xml:space="preserve"> </w:t>
      </w:r>
      <w:r>
        <w:rPr>
          <w:rFonts w:hint="eastAsia" w:ascii="楷体" w:hAnsi="楷体" w:eastAsia="楷体"/>
          <w:b/>
          <w:spacing w:val="-6"/>
          <w:sz w:val="30"/>
          <w:szCs w:val="30"/>
        </w:rPr>
        <w:t>拟签订的合同文本</w:t>
      </w:r>
    </w:p>
    <w:p>
      <w:pPr>
        <w:tabs>
          <w:tab w:val="left" w:pos="1440"/>
        </w:tabs>
        <w:spacing w:before="120" w:beforeLines="50" w:line="288" w:lineRule="auto"/>
        <w:ind w:left="284"/>
        <w:rPr>
          <w:rFonts w:ascii="楷体" w:hAnsi="楷体" w:eastAsia="楷体"/>
          <w:b/>
          <w:spacing w:val="-6"/>
          <w:sz w:val="30"/>
          <w:szCs w:val="30"/>
        </w:rPr>
      </w:pPr>
      <w:r>
        <w:rPr>
          <w:rFonts w:hint="eastAsia" w:ascii="楷体" w:hAnsi="楷体" w:eastAsia="楷体"/>
          <w:b/>
          <w:spacing w:val="-6"/>
          <w:sz w:val="30"/>
          <w:szCs w:val="30"/>
        </w:rPr>
        <w:t>第六章</w:t>
      </w:r>
      <w:r>
        <w:rPr>
          <w:rFonts w:ascii="楷体" w:hAnsi="楷体" w:eastAsia="楷体"/>
          <w:b/>
          <w:spacing w:val="-6"/>
          <w:sz w:val="30"/>
          <w:szCs w:val="30"/>
        </w:rPr>
        <w:t xml:space="preserve">  </w:t>
      </w:r>
      <w:r>
        <w:rPr>
          <w:rFonts w:hint="eastAsia" w:ascii="楷体" w:hAnsi="楷体" w:eastAsia="楷体"/>
          <w:b/>
          <w:spacing w:val="-6"/>
          <w:sz w:val="30"/>
          <w:szCs w:val="30"/>
        </w:rPr>
        <w:t>投标文件格式</w:t>
      </w:r>
    </w:p>
    <w:p>
      <w:pPr>
        <w:pStyle w:val="13"/>
        <w:spacing w:beforeLines="0" w:afterLines="0" w:line="288" w:lineRule="auto"/>
        <w:jc w:val="left"/>
        <w:rPr>
          <w:rFonts w:hAnsi="宋体"/>
          <w:sz w:val="21"/>
          <w:szCs w:val="21"/>
        </w:rPr>
      </w:pPr>
    </w:p>
    <w:p>
      <w:pPr>
        <w:pStyle w:val="13"/>
        <w:spacing w:beforeLines="0" w:afterLines="0" w:line="288" w:lineRule="auto"/>
        <w:jc w:val="left"/>
        <w:outlineLvl w:val="0"/>
        <w:rPr>
          <w:rFonts w:hAnsi="宋体"/>
          <w:sz w:val="21"/>
          <w:szCs w:val="21"/>
        </w:rPr>
        <w:sectPr>
          <w:headerReference r:id="rId3" w:type="default"/>
          <w:footerReference r:id="rId4" w:type="default"/>
          <w:pgSz w:w="11906" w:h="16838"/>
          <w:pgMar w:top="1247" w:right="1247" w:bottom="1247" w:left="1247" w:header="35" w:footer="782" w:gutter="0"/>
          <w:cols w:space="720" w:num="1"/>
          <w:docGrid w:linePitch="381" w:charSpace="0"/>
        </w:sectPr>
      </w:pPr>
    </w:p>
    <w:p>
      <w:pPr>
        <w:pStyle w:val="13"/>
        <w:spacing w:beforeLines="0" w:afterLines="0" w:line="288" w:lineRule="auto"/>
        <w:jc w:val="center"/>
        <w:outlineLvl w:val="0"/>
        <w:rPr>
          <w:rFonts w:hAnsi="宋体"/>
          <w:b/>
          <w:spacing w:val="-6"/>
          <w:sz w:val="32"/>
          <w:szCs w:val="32"/>
        </w:rPr>
      </w:pPr>
      <w:r>
        <w:rPr>
          <w:rFonts w:hAnsi="宋体"/>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b/>
          <w:sz w:val="21"/>
          <w:szCs w:val="21"/>
        </w:rPr>
      </w:pPr>
      <w:r>
        <w:rPr>
          <w:rFonts w:hint="eastAsia" w:ascii="宋体" w:hAnsi="宋体"/>
          <w:b/>
          <w:sz w:val="21"/>
          <w:szCs w:val="21"/>
          <w:u w:val="single"/>
        </w:rPr>
        <w:t xml:space="preserve"> 等保配套安全设备扩容建设</w:t>
      </w:r>
      <w:r>
        <w:rPr>
          <w:rFonts w:hint="eastAsia" w:ascii="宋体" w:hAnsi="宋体"/>
          <w:b/>
          <w:sz w:val="21"/>
          <w:szCs w:val="21"/>
        </w:rPr>
        <w:t>招标项目的潜在投标人应在</w:t>
      </w:r>
      <w:r>
        <w:rPr>
          <w:rFonts w:hint="eastAsia" w:ascii="宋体" w:hAnsi="宋体"/>
          <w:b/>
          <w:sz w:val="21"/>
          <w:szCs w:val="21"/>
          <w:u w:val="single"/>
        </w:rPr>
        <w:t xml:space="preserve"> 微信获取（扫描附件二维码或关注“浙江求是招标代理有限公司”企业公众号）或现场（杭州市西湖区玉古路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21楼H</w:t>
      </w:r>
      <w:r>
        <w:rPr>
          <w:rFonts w:hint="eastAsia" w:ascii="宋体" w:hAnsi="宋体"/>
          <w:b/>
          <w:sz w:val="21"/>
          <w:szCs w:val="21"/>
          <w:u w:val="single"/>
        </w:rPr>
        <w:t xml:space="preserve">室） </w:t>
      </w:r>
      <w:r>
        <w:rPr>
          <w:rFonts w:hint="eastAsia" w:ascii="宋体" w:hAnsi="宋体"/>
          <w:b/>
          <w:sz w:val="21"/>
          <w:szCs w:val="21"/>
        </w:rPr>
        <w:t>获取招标文件，并于</w:t>
      </w:r>
      <w:r>
        <w:rPr>
          <w:rFonts w:hint="eastAsia" w:ascii="宋体" w:hAnsi="宋体"/>
          <w:b/>
          <w:sz w:val="21"/>
          <w:szCs w:val="21"/>
          <w:u w:val="single"/>
          <w:lang w:eastAsia="zh-CN"/>
        </w:rPr>
        <w:t>2022年11月1日</w:t>
      </w:r>
      <w:r>
        <w:rPr>
          <w:rFonts w:hint="eastAsia" w:ascii="宋体" w:hAnsi="宋体"/>
          <w:b/>
          <w:sz w:val="21"/>
          <w:szCs w:val="21"/>
          <w:u w:val="single"/>
        </w:rPr>
        <w:t>9:00:00（北京时间）</w:t>
      </w:r>
      <w:r>
        <w:rPr>
          <w:rFonts w:hint="eastAsia" w:ascii="宋体" w:hAnsi="宋体"/>
          <w:b/>
          <w:bCs/>
          <w:sz w:val="21"/>
          <w:szCs w:val="21"/>
        </w:rPr>
        <w:t>前递交投标</w:t>
      </w:r>
      <w:r>
        <w:rPr>
          <w:rFonts w:ascii="宋体" w:hAnsi="宋体"/>
          <w:b/>
          <w:bCs/>
          <w:sz w:val="21"/>
          <w:szCs w:val="21"/>
        </w:rPr>
        <w:t>文件</w:t>
      </w:r>
      <w:r>
        <w:rPr>
          <w:rFonts w:hint="eastAsia" w:ascii="宋体" w:hAnsi="宋体"/>
          <w:b/>
          <w:sz w:val="21"/>
          <w:szCs w:val="21"/>
        </w:rPr>
        <w:t>。</w:t>
      </w:r>
    </w:p>
    <w:p>
      <w:pPr>
        <w:adjustRightInd w:val="0"/>
        <w:snapToGrid w:val="0"/>
        <w:spacing w:line="288" w:lineRule="auto"/>
        <w:rPr>
          <w:rFonts w:ascii="宋体" w:hAnsi="宋体" w:cs="宋体"/>
          <w:b/>
          <w:sz w:val="21"/>
          <w:szCs w:val="21"/>
        </w:rPr>
      </w:pPr>
      <w:bookmarkStart w:id="0" w:name="_Toc28359002"/>
      <w:bookmarkStart w:id="1" w:name="_Toc35393790"/>
      <w:bookmarkStart w:id="2" w:name="_Toc28359079"/>
      <w:bookmarkStart w:id="3" w:name="_Toc35393621"/>
      <w:bookmarkStart w:id="4" w:name="_Hlk24379207"/>
      <w:r>
        <w:rPr>
          <w:rFonts w:hint="eastAsia" w:ascii="宋体" w:hAnsi="宋体" w:cs="宋体"/>
          <w:b/>
          <w:sz w:val="21"/>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1.项目编号：QSZB-Z(H)-A22241(GK)</w:t>
      </w:r>
    </w:p>
    <w:p>
      <w:pPr>
        <w:adjustRightInd w:val="0"/>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.项目名称：等保配套安全设备扩容建设</w:t>
      </w:r>
      <w:bookmarkEnd w:id="4"/>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3.合同履约期限：合同签订后30日内</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4.本项目不接受联合体投标。</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5.采购需求：</w:t>
      </w:r>
    </w:p>
    <w:tbl>
      <w:tblPr>
        <w:tblStyle w:val="23"/>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26"/>
        <w:gridCol w:w="684"/>
        <w:gridCol w:w="780"/>
        <w:gridCol w:w="1560"/>
        <w:gridCol w:w="1428"/>
        <w:gridCol w:w="1116"/>
        <w:gridCol w:w="1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2226"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84"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80"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1560"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428"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是否允许采购进口产品</w:t>
            </w:r>
          </w:p>
        </w:tc>
        <w:tc>
          <w:tcPr>
            <w:tcW w:w="1116"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预算金额</w:t>
            </w:r>
          </w:p>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c>
          <w:tcPr>
            <w:tcW w:w="1138" w:type="dxa"/>
            <w:tcBorders>
              <w:right w:val="single" w:color="auto" w:sz="4" w:space="0"/>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最高限价</w:t>
            </w:r>
          </w:p>
          <w:p>
            <w:pPr>
              <w:adjustRightInd w:val="0"/>
              <w:snapToGrid w:val="0"/>
              <w:spacing w:line="288" w:lineRule="auto"/>
              <w:jc w:val="center"/>
              <w:rPr>
                <w:rFonts w:ascii="宋体" w:hAnsi="宋体" w:cs="宋体"/>
                <w:b/>
                <w:bCs/>
                <w:sz w:val="21"/>
                <w:szCs w:val="21"/>
              </w:rPr>
            </w:pPr>
            <w:r>
              <w:rPr>
                <w:rFonts w:hint="eastAsia" w:ascii="宋体" w:hAnsi="宋体" w:cs="宋体"/>
                <w:b/>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2226" w:type="dxa"/>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数据库审计</w:t>
            </w:r>
          </w:p>
        </w:tc>
        <w:tc>
          <w:tcPr>
            <w:tcW w:w="684"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780"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1560" w:type="dxa"/>
            <w:vMerge w:val="restart"/>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详见附件</w:t>
            </w:r>
          </w:p>
        </w:tc>
        <w:tc>
          <w:tcPr>
            <w:tcW w:w="1428"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1116" w:type="dxa"/>
            <w:vMerge w:val="restart"/>
            <w:tcBorders>
              <w:tl2br w:val="nil"/>
              <w:tr2bl w:val="nil"/>
            </w:tcBorders>
            <w:vAlign w:val="center"/>
          </w:tcPr>
          <w:p>
            <w:pPr>
              <w:adjustRightInd w:val="0"/>
              <w:snapToGrid w:val="0"/>
              <w:spacing w:line="288" w:lineRule="auto"/>
              <w:jc w:val="center"/>
              <w:rPr>
                <w:rFonts w:ascii="宋体" w:hAnsi="宋体" w:cs="宋体"/>
                <w:sz w:val="21"/>
                <w:szCs w:val="21"/>
              </w:rPr>
            </w:pPr>
            <w:r>
              <w:rPr>
                <w:rFonts w:ascii="宋体" w:hAnsi="宋体" w:cs="宋体"/>
                <w:sz w:val="21"/>
                <w:szCs w:val="21"/>
              </w:rPr>
              <w:t>199.99</w:t>
            </w:r>
          </w:p>
        </w:tc>
        <w:tc>
          <w:tcPr>
            <w:tcW w:w="1138" w:type="dxa"/>
            <w:vMerge w:val="restart"/>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ascii="宋体" w:hAnsi="宋体" w:cs="宋体"/>
                <w:sz w:val="21"/>
                <w:szCs w:val="21"/>
              </w:rPr>
              <w:t>199.99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bookmarkStart w:id="5" w:name="_Toc35393622"/>
            <w:bookmarkStart w:id="6" w:name="_Toc35393791"/>
            <w:bookmarkStart w:id="7" w:name="_Toc28359003"/>
            <w:bookmarkStart w:id="8" w:name="_Toc28359080"/>
            <w:r>
              <w:rPr>
                <w:rFonts w:hint="eastAsia" w:ascii="宋体" w:hAnsi="宋体" w:cs="宋体"/>
                <w:bCs/>
                <w:sz w:val="21"/>
                <w:szCs w:val="21"/>
              </w:rPr>
              <w:t>2</w:t>
            </w:r>
          </w:p>
        </w:tc>
        <w:tc>
          <w:tcPr>
            <w:tcW w:w="2226" w:type="dxa"/>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大数据安全平台扩容</w:t>
            </w:r>
          </w:p>
        </w:tc>
        <w:tc>
          <w:tcPr>
            <w:tcW w:w="684"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3</w:t>
            </w:r>
          </w:p>
        </w:tc>
        <w:tc>
          <w:tcPr>
            <w:tcW w:w="780"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1560"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p>
        </w:tc>
        <w:tc>
          <w:tcPr>
            <w:tcW w:w="1428"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111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138"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3</w:t>
            </w:r>
          </w:p>
        </w:tc>
        <w:tc>
          <w:tcPr>
            <w:tcW w:w="2226" w:type="dxa"/>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流量分析探针</w:t>
            </w:r>
          </w:p>
        </w:tc>
        <w:tc>
          <w:tcPr>
            <w:tcW w:w="684"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780"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1560"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p>
        </w:tc>
        <w:tc>
          <w:tcPr>
            <w:tcW w:w="1428"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111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138"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4</w:t>
            </w:r>
          </w:p>
        </w:tc>
        <w:tc>
          <w:tcPr>
            <w:tcW w:w="2226" w:type="dxa"/>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云安全管理平台扩容</w:t>
            </w:r>
          </w:p>
        </w:tc>
        <w:tc>
          <w:tcPr>
            <w:tcW w:w="684"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780"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1560"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p>
        </w:tc>
        <w:tc>
          <w:tcPr>
            <w:tcW w:w="1428"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111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138"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5</w:t>
            </w:r>
          </w:p>
        </w:tc>
        <w:tc>
          <w:tcPr>
            <w:tcW w:w="2226" w:type="dxa"/>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云安全组件通用授权</w:t>
            </w:r>
          </w:p>
        </w:tc>
        <w:tc>
          <w:tcPr>
            <w:tcW w:w="684"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60</w:t>
            </w:r>
          </w:p>
        </w:tc>
        <w:tc>
          <w:tcPr>
            <w:tcW w:w="780"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个</w:t>
            </w:r>
          </w:p>
        </w:tc>
        <w:tc>
          <w:tcPr>
            <w:tcW w:w="1560"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p>
        </w:tc>
        <w:tc>
          <w:tcPr>
            <w:tcW w:w="1428"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否</w:t>
            </w:r>
          </w:p>
        </w:tc>
        <w:tc>
          <w:tcPr>
            <w:tcW w:w="1116" w:type="dxa"/>
            <w:vMerge w:val="continue"/>
            <w:tcBorders>
              <w:tl2br w:val="nil"/>
              <w:tr2bl w:val="nil"/>
            </w:tcBorders>
            <w:vAlign w:val="center"/>
          </w:tcPr>
          <w:p>
            <w:pPr>
              <w:adjustRightInd w:val="0"/>
              <w:snapToGrid w:val="0"/>
              <w:spacing w:line="288" w:lineRule="auto"/>
              <w:jc w:val="center"/>
              <w:rPr>
                <w:rFonts w:ascii="宋体" w:hAnsi="宋体" w:cs="宋体"/>
                <w:sz w:val="21"/>
                <w:szCs w:val="21"/>
              </w:rPr>
            </w:pPr>
          </w:p>
        </w:tc>
        <w:tc>
          <w:tcPr>
            <w:tcW w:w="1138" w:type="dxa"/>
            <w:vMerge w:val="continue"/>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p>
        </w:tc>
      </w:tr>
    </w:tbl>
    <w:p>
      <w:pPr>
        <w:adjustRightInd w:val="0"/>
        <w:snapToGrid w:val="0"/>
        <w:spacing w:line="288" w:lineRule="auto"/>
        <w:rPr>
          <w:rFonts w:ascii="宋体" w:hAnsi="宋体" w:cs="宋体"/>
          <w:b/>
          <w:sz w:val="21"/>
          <w:szCs w:val="21"/>
        </w:rPr>
      </w:pPr>
      <w:r>
        <w:rPr>
          <w:rFonts w:hint="eastAsia" w:ascii="宋体" w:hAnsi="宋体" w:cs="宋体"/>
          <w:b/>
          <w:sz w:val="21"/>
          <w:szCs w:val="21"/>
        </w:rPr>
        <w:t>二、申请人的资格要求：</w:t>
      </w:r>
      <w:bookmarkEnd w:id="5"/>
      <w:bookmarkEnd w:id="6"/>
      <w:bookmarkEnd w:id="7"/>
      <w:bookmarkEnd w:id="8"/>
    </w:p>
    <w:p>
      <w:pPr>
        <w:adjustRightInd w:val="0"/>
        <w:snapToGrid w:val="0"/>
        <w:spacing w:line="288" w:lineRule="auto"/>
        <w:ind w:right="-84" w:rightChars="-30" w:firstLine="420" w:firstLineChars="200"/>
        <w:rPr>
          <w:rFonts w:ascii="宋体" w:hAnsi="宋体"/>
          <w:bCs/>
          <w:sz w:val="21"/>
          <w:szCs w:val="21"/>
        </w:rPr>
      </w:pPr>
      <w:bookmarkStart w:id="9" w:name="_Toc28359081"/>
      <w:bookmarkStart w:id="10" w:name="_Toc28359004"/>
      <w:r>
        <w:rPr>
          <w:rFonts w:hint="eastAsia" w:ascii="宋体" w:hAnsi="宋体"/>
          <w:bCs/>
          <w:sz w:val="21"/>
          <w:szCs w:val="21"/>
        </w:rPr>
        <w:t>1.满足《中华人民共和国政府采购法》第二十二条规定，未被“信用中国”（</w:t>
      </w:r>
      <w:r>
        <w:rPr>
          <w:rFonts w:ascii="宋体" w:hAnsi="宋体"/>
          <w:bCs/>
          <w:sz w:val="21"/>
          <w:szCs w:val="21"/>
        </w:rPr>
        <w:t>www.creditchina.gov.cn</w:t>
      </w:r>
      <w:r>
        <w:rPr>
          <w:rFonts w:hint="eastAsia" w:ascii="宋体" w:hAnsi="宋体"/>
          <w:bCs/>
          <w:sz w:val="21"/>
          <w:szCs w:val="21"/>
        </w:rPr>
        <w:t>）</w:t>
      </w:r>
      <w:r>
        <w:rPr>
          <w:rFonts w:ascii="宋体" w:hAnsi="宋体"/>
          <w:bCs/>
          <w:sz w:val="21"/>
          <w:szCs w:val="21"/>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sz w:val="21"/>
          <w:szCs w:val="21"/>
          <w:highlight w:val="yellow"/>
        </w:rPr>
      </w:pPr>
      <w:r>
        <w:rPr>
          <w:rFonts w:hint="eastAsia" w:ascii="宋体" w:hAnsi="宋体"/>
          <w:sz w:val="21"/>
          <w:szCs w:val="21"/>
        </w:rPr>
        <w:t>2.落实政府采购政策需满足的资格要求：无</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3.本项目的特定资格要求：无</w:t>
      </w:r>
    </w:p>
    <w:p>
      <w:pPr>
        <w:adjustRightInd w:val="0"/>
        <w:snapToGrid w:val="0"/>
        <w:spacing w:line="288" w:lineRule="auto"/>
        <w:rPr>
          <w:rFonts w:ascii="宋体" w:hAnsi="宋体" w:cs="宋体"/>
          <w:b/>
          <w:sz w:val="21"/>
          <w:szCs w:val="21"/>
        </w:rPr>
      </w:pPr>
      <w:bookmarkStart w:id="11" w:name="_Toc35393792"/>
      <w:bookmarkStart w:id="12" w:name="_Toc35393623"/>
      <w:r>
        <w:rPr>
          <w:rFonts w:hint="eastAsia" w:ascii="宋体" w:hAnsi="宋体" w:cs="宋体"/>
          <w:b/>
          <w:sz w:val="21"/>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sz w:val="21"/>
          <w:szCs w:val="21"/>
        </w:rPr>
      </w:pPr>
      <w:bookmarkStart w:id="13" w:name="_Toc28359005"/>
      <w:bookmarkStart w:id="14" w:name="_Toc28359082"/>
      <w:bookmarkStart w:id="15" w:name="_Toc35393793"/>
      <w:bookmarkStart w:id="16" w:name="_Toc35393624"/>
      <w:r>
        <w:rPr>
          <w:rFonts w:hint="eastAsia" w:ascii="宋体" w:hAnsi="宋体"/>
          <w:sz w:val="21"/>
          <w:szCs w:val="21"/>
        </w:rPr>
        <w:t>1</w:t>
      </w:r>
      <w:r>
        <w:rPr>
          <w:rFonts w:ascii="宋体" w:hAnsi="宋体"/>
          <w:sz w:val="21"/>
          <w:szCs w:val="21"/>
        </w:rPr>
        <w:t>.</w:t>
      </w:r>
      <w:r>
        <w:rPr>
          <w:rFonts w:hint="eastAsia" w:ascii="宋体" w:hAnsi="宋体"/>
          <w:sz w:val="21"/>
          <w:szCs w:val="21"/>
        </w:rPr>
        <w:t>时间：2022年</w:t>
      </w:r>
      <w:r>
        <w:rPr>
          <w:rFonts w:hint="eastAsia" w:ascii="宋体" w:hAnsi="宋体"/>
          <w:sz w:val="21"/>
          <w:szCs w:val="21"/>
          <w:lang w:val="en-US" w:eastAsia="zh-CN"/>
        </w:rPr>
        <w:t>10</w:t>
      </w:r>
      <w:r>
        <w:rPr>
          <w:rFonts w:hint="eastAsia" w:ascii="宋体" w:hAnsi="宋体"/>
          <w:sz w:val="21"/>
          <w:szCs w:val="21"/>
        </w:rPr>
        <w:t>月</w:t>
      </w:r>
      <w:r>
        <w:rPr>
          <w:rFonts w:hint="eastAsia" w:ascii="宋体" w:hAnsi="宋体"/>
          <w:sz w:val="21"/>
          <w:szCs w:val="21"/>
          <w:lang w:val="en-US" w:eastAsia="zh-CN"/>
        </w:rPr>
        <w:t>11</w:t>
      </w:r>
      <w:r>
        <w:rPr>
          <w:rFonts w:hint="eastAsia" w:ascii="宋体" w:hAnsi="宋体"/>
          <w:sz w:val="21"/>
          <w:szCs w:val="21"/>
        </w:rPr>
        <w:t>日至2022年10月1</w:t>
      </w:r>
      <w:r>
        <w:rPr>
          <w:rFonts w:hint="eastAsia" w:ascii="宋体" w:hAnsi="宋体"/>
          <w:sz w:val="21"/>
          <w:szCs w:val="21"/>
          <w:lang w:val="en-US" w:eastAsia="zh-CN"/>
        </w:rPr>
        <w:t>8</w:t>
      </w:r>
      <w:r>
        <w:rPr>
          <w:rFonts w:hint="eastAsia" w:ascii="宋体" w:hAnsi="宋体"/>
          <w:sz w:val="21"/>
          <w:szCs w:val="21"/>
        </w:rPr>
        <w:t>日（北京时间，双休日及法定节假日除外）</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上午：8:30-11:30、下午：13:00-17:00。备注：获取招标文件截止时间之后潜在投标人依然可以获取招标文件，如对招标文件有质疑的应在规定的质疑期限内提出。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地点：浙江求是招标代理有限公司（杭州市西湖区玉古路173号中田大厦21楼H室）</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pPr>
        <w:adjustRightInd w:val="0"/>
        <w:snapToGrid w:val="0"/>
        <w:spacing w:line="288" w:lineRule="auto"/>
        <w:ind w:firstLine="420" w:firstLineChars="200"/>
        <w:rPr>
          <w:rFonts w:ascii="宋体" w:hAnsi="宋体"/>
          <w:sz w:val="21"/>
          <w:szCs w:val="21"/>
          <w:u w:val="single"/>
        </w:rPr>
      </w:pPr>
      <w:bookmarkStart w:id="17" w:name="_Hlk45804622"/>
      <w:r>
        <w:rPr>
          <w:rFonts w:hint="eastAsia" w:ascii="宋体" w:hAnsi="宋体"/>
          <w:sz w:val="21"/>
          <w:szCs w:val="21"/>
        </w:rPr>
        <w:t>获取文件联系人：於路莹；联系方式：</w:t>
      </w:r>
      <w:bookmarkStart w:id="18" w:name="_Hlk108679622"/>
      <w:r>
        <w:rPr>
          <w:rFonts w:hint="eastAsia" w:ascii="宋体" w:hAnsi="宋体"/>
          <w:sz w:val="21"/>
          <w:szCs w:val="21"/>
        </w:rPr>
        <w:t>0571-</w:t>
      </w:r>
      <w:r>
        <w:rPr>
          <w:rFonts w:ascii="宋体" w:hAnsi="宋体"/>
          <w:sz w:val="21"/>
          <w:szCs w:val="21"/>
        </w:rPr>
        <w:t>87666112</w:t>
      </w:r>
      <w:bookmarkEnd w:id="18"/>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元整，售后不退。</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收款单位（户名）：浙江求是招标代理有限公司</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开户银行：工行浙大支行</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财务联系方式：0571-87666113</w:t>
      </w:r>
      <w:bookmarkEnd w:id="17"/>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5.投标人未按照本公告规定的方式获取招标文件的，投标文件将被拒绝。</w:t>
      </w:r>
      <w:bookmarkStart w:id="52" w:name="_GoBack"/>
      <w:bookmarkEnd w:id="52"/>
    </w:p>
    <w:p>
      <w:pPr>
        <w:adjustRightInd w:val="0"/>
        <w:snapToGrid w:val="0"/>
        <w:spacing w:line="288" w:lineRule="auto"/>
        <w:rPr>
          <w:rFonts w:ascii="宋体" w:hAnsi="宋体" w:cs="宋体"/>
          <w:b/>
          <w:sz w:val="21"/>
          <w:szCs w:val="21"/>
        </w:rPr>
      </w:pPr>
      <w:r>
        <w:rPr>
          <w:rFonts w:hint="eastAsia" w:ascii="宋体" w:hAnsi="宋体" w:cs="宋体"/>
          <w:b/>
          <w:sz w:val="21"/>
          <w:szCs w:val="21"/>
        </w:rPr>
        <w:t>四、提交投标文件</w:t>
      </w:r>
      <w:bookmarkEnd w:id="13"/>
      <w:bookmarkEnd w:id="14"/>
      <w:r>
        <w:rPr>
          <w:rFonts w:hint="eastAsia" w:ascii="宋体" w:hAnsi="宋体" w:cs="宋体"/>
          <w:b/>
          <w:sz w:val="21"/>
          <w:szCs w:val="21"/>
        </w:rPr>
        <w:t>截止时间、开标时间和地点</w:t>
      </w:r>
      <w:bookmarkEnd w:id="15"/>
      <w:bookmarkEnd w:id="16"/>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1.时间：</w:t>
      </w:r>
      <w:r>
        <w:rPr>
          <w:rFonts w:hint="eastAsia" w:ascii="宋体" w:hAnsi="宋体"/>
          <w:bCs/>
          <w:sz w:val="21"/>
          <w:szCs w:val="21"/>
          <w:lang w:eastAsia="zh-CN"/>
        </w:rPr>
        <w:t>2022年11月1日</w:t>
      </w:r>
      <w:r>
        <w:rPr>
          <w:rFonts w:hint="eastAsia" w:ascii="宋体" w:hAnsi="宋体"/>
          <w:bCs/>
          <w:sz w:val="21"/>
          <w:szCs w:val="21"/>
        </w:rPr>
        <w:t>9:00:00（北京时间）</w:t>
      </w:r>
    </w:p>
    <w:p>
      <w:pPr>
        <w:adjustRightInd w:val="0"/>
        <w:snapToGrid w:val="0"/>
        <w:spacing w:line="288" w:lineRule="auto"/>
        <w:ind w:firstLine="420" w:firstLineChars="200"/>
        <w:rPr>
          <w:rFonts w:hint="eastAsia" w:ascii="宋体" w:hAnsi="宋体" w:eastAsia="宋体"/>
          <w:bCs/>
          <w:sz w:val="21"/>
          <w:szCs w:val="21"/>
          <w:lang w:eastAsia="zh-CN"/>
        </w:rPr>
      </w:pPr>
      <w:r>
        <w:rPr>
          <w:rFonts w:ascii="宋体" w:hAnsi="宋体"/>
          <w:bCs/>
          <w:sz w:val="21"/>
          <w:szCs w:val="21"/>
        </w:rPr>
        <w:t>2</w:t>
      </w:r>
      <w:r>
        <w:rPr>
          <w:rFonts w:hint="eastAsia" w:ascii="宋体" w:hAnsi="宋体"/>
          <w:bCs/>
          <w:sz w:val="21"/>
          <w:szCs w:val="21"/>
        </w:rPr>
        <w:t>.地点：</w:t>
      </w:r>
      <w:r>
        <w:rPr>
          <w:rFonts w:hint="eastAsia" w:ascii="宋体" w:hAnsi="宋体"/>
          <w:bCs/>
          <w:sz w:val="21"/>
          <w:szCs w:val="21"/>
          <w:lang w:eastAsia="zh-CN"/>
        </w:rPr>
        <w:t>杭州市西湖区玉古路173号中田大厦21楼求是招标2号会议室</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备注：投标人逾期送达或者未按照招标文件要求密封的投标文件，采购代理机构将予以拒收。</w:t>
      </w:r>
    </w:p>
    <w:p>
      <w:pPr>
        <w:adjustRightInd w:val="0"/>
        <w:snapToGrid w:val="0"/>
        <w:spacing w:line="288" w:lineRule="auto"/>
        <w:rPr>
          <w:rFonts w:ascii="宋体" w:hAnsi="宋体" w:cs="宋体"/>
          <w:b/>
          <w:sz w:val="21"/>
          <w:szCs w:val="21"/>
        </w:rPr>
      </w:pPr>
      <w:bookmarkStart w:id="19" w:name="_Toc35393794"/>
      <w:bookmarkStart w:id="20" w:name="_Toc35393625"/>
      <w:bookmarkStart w:id="21" w:name="_Toc28359007"/>
      <w:bookmarkStart w:id="22" w:name="_Toc28359084"/>
      <w:r>
        <w:rPr>
          <w:rFonts w:hint="eastAsia" w:ascii="宋体" w:hAnsi="宋体" w:cs="宋体"/>
          <w:b/>
          <w:sz w:val="21"/>
          <w:szCs w:val="21"/>
        </w:rPr>
        <w:t>五、公告期限</w:t>
      </w:r>
      <w:bookmarkEnd w:id="19"/>
      <w:bookmarkEnd w:id="20"/>
      <w:bookmarkEnd w:id="21"/>
      <w:bookmarkEnd w:id="22"/>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自本公告发布之日起5个工作日。</w:t>
      </w:r>
    </w:p>
    <w:p>
      <w:pPr>
        <w:adjustRightInd w:val="0"/>
        <w:snapToGrid w:val="0"/>
        <w:spacing w:line="288" w:lineRule="auto"/>
        <w:rPr>
          <w:rFonts w:ascii="宋体" w:hAnsi="宋体" w:cs="宋体"/>
          <w:b/>
          <w:sz w:val="21"/>
          <w:szCs w:val="21"/>
        </w:rPr>
      </w:pPr>
      <w:bookmarkStart w:id="23" w:name="_Toc35393795"/>
      <w:bookmarkStart w:id="24" w:name="_Toc35393626"/>
      <w:r>
        <w:rPr>
          <w:rFonts w:hint="eastAsia" w:ascii="宋体" w:hAnsi="宋体" w:cs="宋体"/>
          <w:b/>
          <w:sz w:val="21"/>
          <w:szCs w:val="21"/>
        </w:rPr>
        <w:t>六、其他补充事宜</w:t>
      </w:r>
      <w:bookmarkEnd w:id="23"/>
      <w:bookmarkEnd w:id="24"/>
    </w:p>
    <w:p>
      <w:pPr>
        <w:adjustRightInd w:val="0"/>
        <w:snapToGrid w:val="0"/>
        <w:spacing w:line="288"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供应商认为采购文件使自己的权益受到损害的，可以自获取采购文件之日或者采购公告期限届满之日（公告期限届满后获取采购文件的，以公告期限届满之日为准）起</w:t>
      </w:r>
      <w:r>
        <w:rPr>
          <w:rFonts w:ascii="宋体" w:hAnsi="宋体"/>
          <w:sz w:val="21"/>
          <w:szCs w:val="21"/>
        </w:rPr>
        <w:t>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sz w:val="21"/>
          <w:szCs w:val="21"/>
        </w:rPr>
      </w:pPr>
      <w:r>
        <w:rPr>
          <w:rFonts w:ascii="宋体" w:hAnsi="宋体"/>
          <w:sz w:val="21"/>
          <w:szCs w:val="21"/>
        </w:rPr>
        <w:t>2.需要落实的政府采购政策：包括节约资源、保护环境、</w:t>
      </w:r>
      <w:r>
        <w:rPr>
          <w:rFonts w:hint="eastAsia" w:ascii="宋体" w:hAnsi="宋体"/>
          <w:sz w:val="21"/>
          <w:szCs w:val="21"/>
        </w:rPr>
        <w:t>支持科技创新、</w:t>
      </w:r>
      <w:r>
        <w:rPr>
          <w:rFonts w:ascii="宋体" w:hAnsi="宋体"/>
          <w:sz w:val="21"/>
          <w:szCs w:val="21"/>
        </w:rPr>
        <w:t>促进中小企业发展等。详见招标文件的第</w:t>
      </w:r>
      <w:r>
        <w:rPr>
          <w:rFonts w:hint="eastAsia" w:ascii="宋体" w:hAnsi="宋体"/>
          <w:sz w:val="21"/>
          <w:szCs w:val="21"/>
        </w:rPr>
        <w:t>三章-采购项目需要落实的政府采购政策</w:t>
      </w:r>
      <w:r>
        <w:rPr>
          <w:rFonts w:ascii="宋体" w:hAnsi="宋体"/>
          <w:sz w:val="21"/>
          <w:szCs w:val="21"/>
        </w:rPr>
        <w:t>。</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w:t>
      </w:r>
      <w:r>
        <w:rPr>
          <w:rFonts w:ascii="宋体" w:hAnsi="宋体"/>
          <w:sz w:val="21"/>
          <w:szCs w:val="21"/>
        </w:rPr>
        <w:t>3.</w:t>
      </w:r>
      <w:bookmarkStart w:id="25" w:name="_Hlk92271072"/>
      <w:r>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5"/>
    </w:p>
    <w:p>
      <w:pPr>
        <w:adjustRightInd w:val="0"/>
        <w:snapToGrid w:val="0"/>
        <w:spacing w:line="288" w:lineRule="auto"/>
        <w:ind w:firstLine="420" w:firstLineChars="200"/>
        <w:rPr>
          <w:rFonts w:ascii="宋体" w:hAnsi="宋体"/>
          <w:sz w:val="21"/>
          <w:szCs w:val="21"/>
        </w:rPr>
      </w:pPr>
      <w:r>
        <w:rPr>
          <w:rFonts w:ascii="宋体" w:hAnsi="宋体"/>
          <w:sz w:val="21"/>
          <w:szCs w:val="21"/>
        </w:rPr>
        <w:t>4</w:t>
      </w:r>
      <w:r>
        <w:rPr>
          <w:rFonts w:hint="eastAsia" w:ascii="宋体" w:hAnsi="宋体"/>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1）邮寄地址：杭州市西湖区玉古路173号中田大厦21楼H室，浙江求是招标代理有限公司（王娜）收，电话：0571-87666119，寄出后将（快递单号、项目名称、公司名称、联系方式等相关信息）发至：zb01@qszb.net，以便查收）。</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特别说明：双休日和法定节假日不收件，投标人自行承担邮寄风险。</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疫情防控期间，取消投标人在开标现场的书面签名确认等有关操作要求；评审现场如需要投标人澄清、说明等，均通过指定的电子邮箱（zb01@qszb.net）向投标人发送澄清、说明等通知，并要求在收到通知后半小时内以邮件形式作出澄清、说明等。</w:t>
      </w:r>
    </w:p>
    <w:p>
      <w:pPr>
        <w:adjustRightInd w:val="0"/>
        <w:snapToGrid w:val="0"/>
        <w:spacing w:line="288" w:lineRule="auto"/>
        <w:rPr>
          <w:rFonts w:ascii="宋体" w:hAnsi="宋体"/>
          <w:b/>
          <w:sz w:val="21"/>
          <w:szCs w:val="21"/>
        </w:rPr>
      </w:pPr>
      <w:bookmarkStart w:id="26" w:name="_Toc35393627"/>
      <w:bookmarkStart w:id="27" w:name="_Toc28359085"/>
      <w:bookmarkStart w:id="28" w:name="_Toc28359008"/>
      <w:bookmarkStart w:id="29" w:name="_Toc35393796"/>
      <w:r>
        <w:rPr>
          <w:rFonts w:hint="eastAsia" w:ascii="宋体" w:hAnsi="宋体" w:cs="宋体"/>
          <w:b/>
          <w:sz w:val="21"/>
          <w:szCs w:val="21"/>
        </w:rPr>
        <w:t>七、对本次招标提出询问、质疑请按</w:t>
      </w:r>
      <w:r>
        <w:rPr>
          <w:rFonts w:ascii="宋体" w:hAnsi="宋体" w:cs="宋体"/>
          <w:b/>
          <w:sz w:val="21"/>
          <w:szCs w:val="21"/>
        </w:rPr>
        <w:t>以下方式</w:t>
      </w:r>
      <w:r>
        <w:rPr>
          <w:rFonts w:hint="eastAsia" w:ascii="宋体" w:hAnsi="宋体" w:cs="宋体"/>
          <w:b/>
          <w:sz w:val="21"/>
          <w:szCs w:val="21"/>
        </w:rPr>
        <w:t>联系</w:t>
      </w:r>
      <w:bookmarkEnd w:id="26"/>
      <w:bookmarkEnd w:id="27"/>
      <w:bookmarkEnd w:id="28"/>
      <w:bookmarkEnd w:id="29"/>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名称：浙江大学</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地址：杭州市西湖区浙江大学紫金港校区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采购项目联系人：俞老师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采购项目联系方式：13082832878</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名称：浙江求是招标代理有限公司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地址：杭州市西湖区玉古路173号中田大厦21楼</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项目联系人：陈宵、王娜</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项目联系方式：0571-87666119</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质疑联系人：蒋敏芝</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adjustRightInd w:val="0"/>
        <w:snapToGrid w:val="0"/>
        <w:spacing w:line="288" w:lineRule="auto"/>
        <w:ind w:left="238"/>
        <w:jc w:val="center"/>
        <w:outlineLvl w:val="0"/>
        <w:rPr>
          <w:rFonts w:ascii="宋体" w:hAnsi="宋体"/>
          <w:b/>
          <w:bCs/>
          <w:sz w:val="32"/>
          <w:szCs w:val="32"/>
        </w:rPr>
      </w:pPr>
      <w:r>
        <w:rPr>
          <w:rFonts w:hint="eastAsia" w:ascii="宋体" w:hAnsi="宋体"/>
          <w:b/>
          <w:sz w:val="32"/>
          <w:szCs w:val="32"/>
        </w:rPr>
        <w:t xml:space="preserve">第二章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3"/>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30"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3256"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16"/>
              </w:rPr>
              <w:t>政府采购支持科技创新</w:t>
            </w:r>
          </w:p>
        </w:tc>
        <w:tc>
          <w:tcPr>
            <w:tcW w:w="5529"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16"/>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5</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p>
            <w:pPr>
              <w:adjustRightInd w:val="0"/>
              <w:snapToGrid w:val="0"/>
              <w:spacing w:line="288" w:lineRule="auto"/>
              <w:jc w:val="left"/>
              <w:rPr>
                <w:rFonts w:ascii="宋体" w:hAnsi="宋体"/>
                <w:b/>
                <w:bCs/>
                <w:sz w:val="21"/>
                <w:szCs w:val="21"/>
              </w:rPr>
            </w:pPr>
            <w:r>
              <w:rPr>
                <w:rFonts w:hint="eastAsia" w:ascii="宋体" w:hAnsi="宋体"/>
                <w:b/>
                <w:bCs/>
                <w:sz w:val="21"/>
                <w:szCs w:val="21"/>
              </w:rPr>
              <w:t>本项目属性为：货物</w:t>
            </w:r>
          </w:p>
          <w:p>
            <w:pPr>
              <w:adjustRightInd w:val="0"/>
              <w:snapToGrid w:val="0"/>
              <w:spacing w:line="288" w:lineRule="auto"/>
              <w:jc w:val="left"/>
              <w:rPr>
                <w:rFonts w:ascii="宋体" w:hAnsi="宋体"/>
                <w:b/>
                <w:bCs/>
                <w:sz w:val="21"/>
                <w:szCs w:val="21"/>
              </w:rPr>
            </w:pPr>
            <w:r>
              <w:rPr>
                <w:rFonts w:hint="eastAsia" w:ascii="宋体" w:hAnsi="宋体"/>
                <w:b/>
                <w:bCs/>
                <w:sz w:val="21"/>
                <w:szCs w:val="21"/>
              </w:rPr>
              <w:t>采购标的对应的中小企业划分标准所属行业：工业</w:t>
            </w:r>
          </w:p>
          <w:p>
            <w:pPr>
              <w:adjustRightInd w:val="0"/>
              <w:snapToGrid w:val="0"/>
              <w:spacing w:line="288" w:lineRule="auto"/>
              <w:jc w:val="left"/>
              <w:rPr>
                <w:rFonts w:ascii="宋体" w:hAnsi="宋体" w:cs="宋体"/>
                <w:b/>
                <w:bCs/>
                <w:sz w:val="21"/>
                <w:szCs w:val="21"/>
              </w:rPr>
            </w:pPr>
            <w:r>
              <w:rPr>
                <w:rFonts w:hint="eastAsia" w:ascii="宋体" w:hAnsi="宋体"/>
                <w:b/>
                <w:bCs/>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bookmarkEnd w:id="30"/>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3"/>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31" w:name="_Hlk45005608"/>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1、货款支付方式：</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（1）国产设备及境内直接供货的进口设备：货到经安装调试，用户认定合格后，凭用户出具的安装调试报告支付</w:t>
            </w:r>
            <w:r>
              <w:rPr>
                <w:rFonts w:ascii="宋体" w:hAnsi="宋体" w:cs="宋体"/>
                <w:spacing w:val="-6"/>
                <w:kern w:val="0"/>
                <w:sz w:val="21"/>
                <w:szCs w:val="21"/>
              </w:rPr>
              <w:t>5</w:t>
            </w:r>
            <w:r>
              <w:rPr>
                <w:rFonts w:hint="eastAsia" w:ascii="宋体" w:hAnsi="宋体" w:cs="宋体"/>
                <w:spacing w:val="-6"/>
                <w:kern w:val="0"/>
                <w:sz w:val="21"/>
                <w:szCs w:val="21"/>
              </w:rPr>
              <w:t>0%货款；验收合格后凭用户出具的验收报告支付</w:t>
            </w:r>
            <w:r>
              <w:rPr>
                <w:rFonts w:ascii="宋体" w:hAnsi="宋体" w:cs="宋体"/>
                <w:spacing w:val="-6"/>
                <w:kern w:val="0"/>
                <w:sz w:val="21"/>
                <w:szCs w:val="21"/>
              </w:rPr>
              <w:t>5</w:t>
            </w:r>
            <w:r>
              <w:rPr>
                <w:rFonts w:hint="eastAsia" w:ascii="宋体" w:hAnsi="宋体" w:cs="宋体"/>
                <w:spacing w:val="-6"/>
                <w:kern w:val="0"/>
                <w:sz w:val="21"/>
                <w:szCs w:val="21"/>
              </w:rPr>
              <w:t>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（2）境外供货的设备：签订合同时交纳5%履约保证金，凭装运单据支付100%的货款，履约保证金在验收合格后无息退回。保证金退还请联系浙江大学采购中心刘老师：0571-88981170。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2、货款的结算：</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（1）国产设备及境内直接供货的进口设备货款由需方负责支付。</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开票信息：开具增值税专用发票；</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抬头：浙江大学</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纳税人识别号：12100000470095016Q</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地址：杭州市余杭塘路866号，电话88981919</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开户行：农行杭州市浙大支行紫金港支行</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账号：19042201040000014</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行号：103331004223</w:t>
            </w:r>
          </w:p>
          <w:p>
            <w:pPr>
              <w:autoSpaceDE w:val="0"/>
              <w:autoSpaceDN w:val="0"/>
              <w:adjustRightInd w:val="0"/>
              <w:snapToGrid w:val="0"/>
              <w:spacing w:line="288" w:lineRule="auto"/>
              <w:jc w:val="left"/>
              <w:rPr>
                <w:rFonts w:ascii="宋体" w:hAnsi="宋体" w:cs="宋体"/>
                <w:spacing w:val="-6"/>
                <w:kern w:val="0"/>
                <w:sz w:val="21"/>
                <w:szCs w:val="21"/>
                <w:highlight w:val="yellow"/>
              </w:rPr>
            </w:pPr>
            <w:r>
              <w:rPr>
                <w:rFonts w:hint="eastAsia" w:ascii="宋体" w:hAnsi="宋体" w:cs="宋体"/>
                <w:spacing w:val="-6"/>
                <w:kern w:val="0"/>
                <w:sz w:val="21"/>
                <w:szCs w:val="21"/>
              </w:rPr>
              <w:t>（2）需采购人办理进口手续的进口设备货款，由采购人委托指定的外贸公司与中标人指定的境外投标人签订外贸合同后按合同付款</w:t>
            </w:r>
          </w:p>
        </w:tc>
      </w:tr>
      <w:bookmarkEnd w:id="31"/>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w:t>
            </w:r>
            <w:r>
              <w:rPr>
                <w:rFonts w:ascii="宋体" w:hAnsi="宋体" w:cs="宋体"/>
                <w:sz w:val="21"/>
                <w:szCs w:val="21"/>
              </w:rPr>
              <w:t>30</w:t>
            </w:r>
            <w:r>
              <w:rPr>
                <w:rFonts w:hint="eastAsia" w:ascii="宋体" w:hAnsi="宋体" w:cs="宋体"/>
                <w:sz w:val="21"/>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w:t>
            </w: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如在使用过程中发生质量问题，供应商维修响应时间：2小时以内；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电话技术支持时间：2小时以内；</w:t>
            </w:r>
          </w:p>
          <w:p>
            <w:pPr>
              <w:adjustRightInd w:val="0"/>
              <w:snapToGrid w:val="0"/>
              <w:spacing w:line="288" w:lineRule="auto"/>
              <w:rPr>
                <w:rFonts w:ascii="宋体" w:hAnsi="宋体" w:cs="宋体"/>
                <w:sz w:val="21"/>
                <w:szCs w:val="21"/>
              </w:rPr>
            </w:pPr>
            <w:r>
              <w:rPr>
                <w:rFonts w:hint="eastAsia" w:ascii="宋体" w:hAnsi="宋体" w:cs="宋体"/>
                <w:sz w:val="21"/>
                <w:szCs w:val="21"/>
                <w:u w:val="single"/>
              </w:rPr>
              <w:t>若需上门维修，则在48小时内到达现场并进行维修；</w:t>
            </w:r>
            <w:r>
              <w:rPr>
                <w:rFonts w:ascii="宋体" w:hAnsi="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cs="宋体"/>
          <w:b/>
          <w:bCs/>
          <w:sz w:val="21"/>
          <w:szCs w:val="21"/>
          <w:highlight w:val="yellow"/>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32" w:name="_Hlk94018176"/>
      <w:r>
        <w:rPr>
          <w:rFonts w:hint="eastAsia" w:ascii="宋体" w:hAnsi="宋体" w:cs="宋体"/>
          <w:sz w:val="21"/>
          <w:szCs w:val="21"/>
        </w:rPr>
        <w:t>如技术要求中未注明需执行的国家相关标准、行业标准、地方标准或者其他标准、规范的，执行最新标准、规范。</w:t>
      </w:r>
      <w:bookmarkEnd w:id="32"/>
    </w:p>
    <w:p>
      <w:pPr>
        <w:adjustRightInd w:val="0"/>
        <w:snapToGrid w:val="0"/>
        <w:spacing w:line="288" w:lineRule="auto"/>
        <w:rPr>
          <w:rFonts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.需实现的功能或者目标：</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本次项目为扩容项目，要求本次所投产品均在浙江大学原有的安全设备基础上进行扩展，保障体系完整，同时避免原有投资设备的浪费，具体建设目标如下：</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（1）在采购人原有数据库审计的基础上扩容一套同性能的数据库审计系统，</w:t>
      </w:r>
      <w:r>
        <w:rPr>
          <w:rFonts w:ascii="宋体" w:hAnsi="宋体" w:cs="宋体"/>
          <w:sz w:val="21"/>
          <w:szCs w:val="21"/>
        </w:rPr>
        <w:t>提</w:t>
      </w:r>
      <w:r>
        <w:rPr>
          <w:rFonts w:hint="eastAsia" w:ascii="宋体" w:hAnsi="宋体" w:cs="宋体"/>
          <w:sz w:val="21"/>
          <w:szCs w:val="21"/>
        </w:rPr>
        <w:t>高数据库审计内容的完整性，对进出核心数据库的访问流量进行数据报文字段级的解析操作，完全还原出操作的细节，并给出详尽的操作返回结果，以可视化的方式将所有的访问进行呈现，让数据库风险有效感知并形成记录；</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（2）在采购人原有大数据安全平台基础上进行扩容，</w:t>
      </w:r>
      <w:r>
        <w:rPr>
          <w:rFonts w:ascii="宋体" w:hAnsi="宋体" w:cs="宋体"/>
          <w:sz w:val="21"/>
          <w:szCs w:val="21"/>
        </w:rPr>
        <w:t>提升平台计算、分析、存储能力，保障后续</w:t>
      </w:r>
      <w:r>
        <w:rPr>
          <w:rFonts w:hint="eastAsia" w:ascii="宋体" w:hAnsi="宋体" w:cs="宋体"/>
          <w:sz w:val="21"/>
          <w:szCs w:val="21"/>
        </w:rPr>
        <w:t>平台</w:t>
      </w:r>
      <w:r>
        <w:rPr>
          <w:rFonts w:ascii="宋体" w:hAnsi="宋体" w:cs="宋体"/>
          <w:sz w:val="21"/>
          <w:szCs w:val="21"/>
        </w:rPr>
        <w:t>安全分析的实时性及平台的稳定运行</w:t>
      </w:r>
      <w:r>
        <w:rPr>
          <w:rFonts w:hint="eastAsia" w:ascii="宋体" w:hAnsi="宋体" w:cs="宋体"/>
          <w:sz w:val="21"/>
          <w:szCs w:val="21"/>
        </w:rPr>
        <w:t>，实现攻击的多种角度、维度分析，安全事件的智能感知，最终为浙江大学安全处置提供溯源与取证；要求本次所投平台与原有平台无缝扩展衔接，并且能够接入原有的流量分析探针；</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）为保证产品兼容性和统一管理，在采购人原有流量分析探针基础上进行扩容，要求本次所投流量分析探针能够与采购人现有大数据安全平台进行流量数据对接。</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）要求在浙江大学原有云安全管理平台上进行扩容，</w:t>
      </w:r>
      <w:r>
        <w:rPr>
          <w:rFonts w:ascii="宋体" w:hAnsi="宋体" w:cs="宋体"/>
          <w:sz w:val="21"/>
          <w:szCs w:val="21"/>
        </w:rPr>
        <w:t>提升平台</w:t>
      </w:r>
      <w:r>
        <w:rPr>
          <w:rFonts w:hint="eastAsia" w:ascii="宋体" w:hAnsi="宋体" w:cs="宋体"/>
          <w:sz w:val="21"/>
          <w:szCs w:val="21"/>
        </w:rPr>
        <w:t>性能，赋予浙江大学二级部门更为全面的安全能力；要求与学校现有云平台做深度对接，实现学校现有云平台与云安全平台的深度耦合，包括管理界面的融合，账号体系的对接打通等。</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）本次项目为扩容项目，要求在浙江大学原有云安全管理平台已有的授权上进行扩容，</w:t>
      </w:r>
      <w:r>
        <w:rPr>
          <w:rFonts w:ascii="宋体" w:hAnsi="宋体" w:cs="宋体"/>
          <w:sz w:val="21"/>
          <w:szCs w:val="21"/>
        </w:rPr>
        <w:t>提</w:t>
      </w:r>
      <w:r>
        <w:rPr>
          <w:rFonts w:hint="eastAsia" w:ascii="宋体" w:hAnsi="宋体" w:cs="宋体"/>
          <w:sz w:val="21"/>
          <w:szCs w:val="21"/>
        </w:rPr>
        <w:t>高二级部门安全能力及授权数量。</w:t>
      </w:r>
    </w:p>
    <w:p>
      <w:pPr>
        <w:adjustRightInd w:val="0"/>
        <w:snapToGrid w:val="0"/>
        <w:spacing w:line="288" w:lineRule="auto"/>
        <w:ind w:firstLine="420" w:firstLineChars="200"/>
        <w:rPr>
          <w:rFonts w:ascii="宋体" w:hAnsi="宋体" w:cs="宋体"/>
          <w:b/>
          <w:bCs/>
          <w:sz w:val="21"/>
          <w:szCs w:val="21"/>
        </w:rPr>
      </w:pPr>
      <w:r>
        <w:rPr>
          <w:rFonts w:hint="eastAsia" w:ascii="宋体" w:hAnsi="宋体" w:cs="宋体"/>
          <w:sz w:val="21"/>
          <w:szCs w:val="21"/>
        </w:rPr>
        <w:t>以上功能要求若不支持，需通过定制开发来实现相关功能，一切定制开发费用由本次投标人承担</w:t>
      </w:r>
      <w:r>
        <w:rPr>
          <w:rFonts w:hint="eastAsia" w:ascii="宋体" w:hAnsi="宋体" w:cs="宋体"/>
          <w:b/>
          <w:bCs/>
          <w:sz w:val="21"/>
          <w:szCs w:val="21"/>
        </w:rPr>
        <w:t>（要求提供承诺证明材料）。</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需满足的质量、安全、技术规格、物理特性等要求：</w:t>
      </w: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3.1数据库审计（1套）</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8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712" w:type="pct"/>
            <w:shd w:val="clear" w:color="auto" w:fill="auto"/>
            <w:vAlign w:val="center"/>
          </w:tcPr>
          <w:p>
            <w:pPr>
              <w:widowControl/>
              <w:adjustRightInd w:val="0"/>
              <w:snapToGrid w:val="0"/>
              <w:spacing w:line="288" w:lineRule="auto"/>
              <w:jc w:val="center"/>
              <w:rPr>
                <w:rFonts w:ascii="宋体" w:hAnsi="宋体" w:cs="宋体"/>
                <w:b/>
                <w:bCs/>
                <w:color w:val="000000" w:themeColor="text1"/>
                <w:kern w:val="0"/>
                <w:sz w:val="21"/>
                <w:szCs w:val="21"/>
                <w14:textFill>
                  <w14:solidFill>
                    <w14:schemeClr w14:val="tx1"/>
                  </w14:solidFill>
                </w14:textFill>
              </w:rPr>
            </w:pPr>
            <w:bookmarkStart w:id="33" w:name="_Hlk99439061"/>
            <w:r>
              <w:rPr>
                <w:rFonts w:hint="eastAsia" w:ascii="宋体" w:hAnsi="宋体" w:cs="宋体"/>
                <w:b/>
                <w:bCs/>
                <w:color w:val="000000" w:themeColor="text1"/>
                <w:kern w:val="0"/>
                <w:sz w:val="21"/>
                <w:szCs w:val="21"/>
                <w14:textFill>
                  <w14:solidFill>
                    <w14:schemeClr w14:val="tx1"/>
                  </w14:solidFill>
                </w14:textFill>
              </w:rPr>
              <w:t>指标项</w:t>
            </w:r>
          </w:p>
        </w:tc>
        <w:tc>
          <w:tcPr>
            <w:tcW w:w="4287" w:type="pct"/>
            <w:shd w:val="clear" w:color="auto" w:fill="auto"/>
            <w:vAlign w:val="center"/>
          </w:tcPr>
          <w:p>
            <w:pPr>
              <w:widowControl/>
              <w:adjustRightInd w:val="0"/>
              <w:snapToGrid w:val="0"/>
              <w:spacing w:line="288"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12" w:type="pct"/>
            <w:shd w:val="clear" w:color="auto" w:fill="auto"/>
            <w:vAlign w:val="center"/>
          </w:tcPr>
          <w:p>
            <w:pPr>
              <w:widowControl/>
              <w:adjustRightInd w:val="0"/>
              <w:snapToGrid w:val="0"/>
              <w:spacing w:before="48" w:beforeLines="20" w:after="48" w:afterLines="20"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★整体要求</w:t>
            </w: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bCs/>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支持数据库操作审计，支持syslog外发，支持审计记录归档与在线查询，支持至少5种报警生成。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712" w:type="pct"/>
            <w:shd w:val="clear" w:color="auto" w:fill="auto"/>
            <w:vAlign w:val="center"/>
          </w:tcPr>
          <w:p>
            <w:pPr>
              <w:widowControl/>
              <w:adjustRightInd w:val="0"/>
              <w:snapToGrid w:val="0"/>
              <w:spacing w:before="48" w:beforeLines="20" w:after="48" w:afterLines="20"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性能要求</w:t>
            </w: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支持的数据库实例个数：16；</w:t>
            </w:r>
          </w:p>
          <w:p>
            <w:pPr>
              <w:widowControl/>
              <w:adjustRightInd w:val="0"/>
              <w:snapToGrid w:val="0"/>
              <w:spacing w:before="48" w:beforeLines="20" w:after="48" w:afterLines="20" w:line="288" w:lineRule="auto"/>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审计性能：峰值SQL处理能力≥20000条/秒；</w:t>
            </w:r>
          </w:p>
          <w:p>
            <w:pPr>
              <w:widowControl/>
              <w:adjustRightInd w:val="0"/>
              <w:snapToGrid w:val="0"/>
              <w:spacing w:before="48" w:beforeLines="20" w:after="48" w:afterLines="20" w:line="288" w:lineRule="auto"/>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硬件最大吞吐量2000Mbps；</w:t>
            </w:r>
          </w:p>
          <w:p>
            <w:pPr>
              <w:widowControl/>
              <w:adjustRightInd w:val="0"/>
              <w:snapToGrid w:val="0"/>
              <w:spacing w:before="48" w:beforeLines="20" w:after="48" w:afterLines="20" w:line="288" w:lineRule="auto"/>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双向审计数据库流量200Mbps；</w:t>
            </w:r>
          </w:p>
          <w:p>
            <w:pPr>
              <w:widowControl/>
              <w:adjustRightInd w:val="0"/>
              <w:snapToGrid w:val="0"/>
              <w:spacing w:before="48" w:beforeLines="20" w:after="48" w:afterLines="20" w:line="288" w:lineRule="auto"/>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标配日志存储数20亿条；</w:t>
            </w:r>
          </w:p>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审计日志检索能力≥1500万条/秒。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 w:type="pct"/>
            <w:shd w:val="clear" w:color="auto" w:fill="auto"/>
            <w:vAlign w:val="center"/>
          </w:tcPr>
          <w:p>
            <w:pPr>
              <w:widowControl/>
              <w:adjustRightInd w:val="0"/>
              <w:snapToGrid w:val="0"/>
              <w:spacing w:before="48" w:beforeLines="20" w:after="48" w:afterLines="20"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硬件要求</w:t>
            </w:r>
          </w:p>
        </w:tc>
        <w:tc>
          <w:tcPr>
            <w:tcW w:w="4287" w:type="pct"/>
            <w:shd w:val="clear" w:color="auto" w:fill="auto"/>
            <w:vAlign w:val="center"/>
          </w:tcPr>
          <w:p>
            <w:pPr>
              <w:adjustRightInd w:val="0"/>
              <w:snapToGrid w:val="0"/>
              <w:spacing w:before="24" w:beforeLines="10" w:after="24" w:afterLines="10" w:line="288" w:lineRule="auto"/>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2U机架式；</w:t>
            </w:r>
          </w:p>
          <w:p>
            <w:pPr>
              <w:adjustRightInd w:val="0"/>
              <w:snapToGrid w:val="0"/>
              <w:spacing w:before="24" w:beforeLines="10" w:after="24" w:afterLines="10" w:line="288" w:lineRule="auto"/>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内置交流双电源；</w:t>
            </w:r>
          </w:p>
          <w:p>
            <w:pPr>
              <w:adjustRightInd w:val="0"/>
              <w:snapToGrid w:val="0"/>
              <w:spacing w:before="48" w:beforeLines="20" w:after="48" w:afterLines="20" w:line="288" w:lineRule="auto"/>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产品采用专用工控机硬件架构，非普通PC服务器，MTBF(平均故障间隔时间)≥65000小时；</w:t>
            </w:r>
          </w:p>
          <w:p>
            <w:pPr>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处理器采用Intel高性能CPU，内存≥16GB DDR3 1600Mhz，硬盘≥4*4TB，支持RAID5；网络端口：支持监听接口扩展，配备至少2个千兆电口管理口；支持千兆网络环境下的监听能力，标配至少4个千兆电口和4个千兆光口；支持最大扩展至8电8光或16电或16光共16个千兆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部署方式</w:t>
            </w: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旁路部署模式下无须在被审计数据库系统上安装任何代理即可实现审计。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★可在云环境操作系统中安装软件代理</w:t>
            </w:r>
            <w:r>
              <w:rPr>
                <w:rFonts w:hint="eastAsia" w:ascii="宋体" w:hAnsi="宋体" w:cs="宋体"/>
                <w:b/>
                <w:bCs/>
                <w:color w:val="000000" w:themeColor="text1"/>
                <w:sz w:val="21"/>
                <w:szCs w:val="21"/>
                <w14:textFill>
                  <w14:solidFill>
                    <w14:schemeClr w14:val="tx1"/>
                  </w14:solidFill>
                </w14:textFill>
              </w:rPr>
              <w:t>（需提供第三方权威机构检测报告证明）</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在目标数据库安装agent解决云环境、虚拟化环境内部流量无法镜像场景下数据库的审计。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支持分布式部署，管理中心可实现统一配置、统一报表生成、统一查询</w:t>
            </w:r>
            <w:r>
              <w:rPr>
                <w:rFonts w:hint="eastAsia" w:ascii="宋体" w:hAnsi="宋体" w:cs="宋体"/>
                <w:color w:val="000000" w:themeColor="text1"/>
                <w:sz w:val="21"/>
                <w:szCs w:val="21"/>
                <w:lang w:eastAsia="zh-Hans"/>
                <w14:textFill>
                  <w14:solidFill>
                    <w14:schemeClr w14:val="tx1"/>
                  </w14:solidFill>
                </w14:textFill>
              </w:rPr>
              <w:t>、一键批量升级所有节点</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协议支持</w:t>
            </w: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支持Oracle（包括21C版本）、PostgreSQL、SQL Server、DB2、Informix、Sybase、MySQL、MariaDB、Sybase IQ、Vertica、Tidb、PolarDB、PolarDB-X等主流数据库的审计。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支持GaussDB、Teradata、人大金仓（Kingbase）、达梦（DM）、南大通用数据库（Gbase）、Oscar、K-DB等国产数据库的审计。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支持MongoDB、Hbase、Hive、impala、Elastic Search、HDFS、Cassandra、greenplum、LibrA、graphbase、cache、Redis、HANA、ArangoDB、Neo4j、OrientDB等非关系型数据库的审计。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支持主流业务协议HTTP、HTTPS、Telnet、FTP的审计。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可以通过导入证书的方式实现审计和防护，支持对SQL Server（2005及以上版本）数据库。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可以通过导入证书的方式实现MySQL 5.7及以上版本采用了加密协议通讯的审计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支持对各种协议自动识别编码及在web界面手工配置特定编码。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审计功能</w:t>
            </w: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支持数据库操作表、视图、索引、存储过程等</w:t>
            </w:r>
            <w:r>
              <w:fldChar w:fldCharType="begin"/>
            </w:r>
            <w:r>
              <w:instrText xml:space="preserve"> HYPERLINK \l "_支持各种对象的SQL审计_1" </w:instrText>
            </w:r>
            <w:r>
              <w:fldChar w:fldCharType="separate"/>
            </w:r>
            <w:r>
              <w:rPr>
                <w:rFonts w:hint="eastAsia" w:ascii="宋体" w:hAnsi="宋体" w:cs="宋体"/>
                <w:color w:val="000000" w:themeColor="text1"/>
                <w:sz w:val="21"/>
                <w:szCs w:val="21"/>
                <w14:textFill>
                  <w14:solidFill>
                    <w14:schemeClr w14:val="tx1"/>
                  </w14:solidFill>
                </w14:textFill>
              </w:rPr>
              <w:t>各种对象的所有SQL操作审计</w:t>
            </w:r>
            <w:r>
              <w:rPr>
                <w:rFonts w:hint="eastAsia" w:ascii="宋体" w:hAnsi="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Hans"/>
                <w14:textFill>
                  <w14:solidFill>
                    <w14:schemeClr w14:val="tx1"/>
                  </w14:solidFill>
                </w14:textFill>
              </w:rPr>
              <w:t>审计信息能够记录执行时长，影响行数、执行结果描述与返回结果集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b/>
                <w:bCs/>
                <w:color w:val="000000" w:themeColor="text1"/>
                <w:sz w:val="21"/>
                <w:szCs w:val="21"/>
                <w14:textFill>
                  <w14:solidFill>
                    <w14:schemeClr w14:val="tx1"/>
                  </w14:solidFill>
                </w14:textFill>
              </w:rPr>
              <w:t>需提供第三方权威机构检测报告证明）。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支持数据库请求和返回的双向审计，特别是返回字段和结果集、执行状态、返回行数、执行时长、客户端工具、主机名等内容，支持通过返回行数控制返回结果集大小。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支持跨语句、跨多包的绑定变量名及绑定变量值审计。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支持超长SQL语句（最长4M）审计。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安全审计</w:t>
            </w: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支持审计记录中敏感数据的模糊化处理，内置常见敏感数据掩码规则，支持自定义。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Hans"/>
                <w14:textFill>
                  <w14:solidFill>
                    <w14:schemeClr w14:val="tx1"/>
                  </w14:solidFill>
                </w14:textFill>
              </w:rPr>
              <w:t>产品具有内置规则，规则类型有sql注入、账号安全、数据泄露和违规操作等，并可依据规则进行邮件告警</w:t>
            </w:r>
            <w:r>
              <w:rPr>
                <w:rFonts w:hint="eastAsia" w:ascii="宋体" w:hAnsi="宋体" w:cs="宋体"/>
                <w:b/>
                <w:bCs/>
                <w:color w:val="000000" w:themeColor="text1"/>
                <w:sz w:val="21"/>
                <w:szCs w:val="21"/>
                <w14:textFill>
                  <w14:solidFill>
                    <w14:schemeClr w14:val="tx1"/>
                  </w14:solidFill>
                </w14:textFill>
              </w:rPr>
              <w:t>（需提供第三方权威机构检测报告证明）</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内置安全规则不少于900条，如SQL注入、缓冲区溢出等。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可自定义审计规则，审计规则至少支持18个条件。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★支持内置安全规则单独升级</w:t>
            </w:r>
            <w:r>
              <w:rPr>
                <w:rFonts w:hint="eastAsia" w:ascii="宋体" w:hAnsi="宋体" w:cs="宋体"/>
                <w:b/>
                <w:bCs/>
                <w:color w:val="000000" w:themeColor="text1"/>
                <w:sz w:val="21"/>
                <w:szCs w:val="21"/>
                <w14:textFill>
                  <w14:solidFill>
                    <w14:schemeClr w14:val="tx1"/>
                  </w14:solidFill>
                </w14:textFill>
              </w:rPr>
              <w:t>（需提供第三方权威机构检测报告证明）</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查询分析</w:t>
            </w: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具有高效的查询性能，后台采用全文检索引擎检索。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支持基于数据库</w:t>
            </w:r>
            <w:r>
              <w:fldChar w:fldCharType="begin"/>
            </w:r>
            <w:r>
              <w:instrText xml:space="preserve"> HYPERLINK \l "_多维度查询" </w:instrText>
            </w:r>
            <w:r>
              <w:fldChar w:fldCharType="separate"/>
            </w:r>
            <w:r>
              <w:rPr>
                <w:rFonts w:hint="eastAsia" w:ascii="宋体" w:hAnsi="宋体" w:cs="宋体"/>
                <w:color w:val="000000" w:themeColor="text1"/>
                <w:sz w:val="21"/>
                <w:szCs w:val="21"/>
                <w14:textFill>
                  <w14:solidFill>
                    <w14:schemeClr w14:val="tx1"/>
                  </w14:solidFill>
                </w14:textFill>
              </w:rPr>
              <w:t>访问日期、时间、源/目的IP、来源</w:t>
            </w:r>
            <w:r>
              <w:rPr>
                <w:rFonts w:hint="eastAsia" w:ascii="宋体" w:hAnsi="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、数据库名、数据库表名、字段值、数据库登录账号、SQL关键词、数据库返回码、SQL响应时间、数据库操作类型、影响行数等条件的审计查询。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支持在审计日志中一键添加过滤规则，支持在告警规则中一键添加信任规则和规则白名单。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设置日志检索条件时，检索条件可根据历史信息自动弹出，检索条件支持源IP、目的IP、客户端工具、数据库名、数据库账号等，输入检索条件时支持智能联想。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支持告警分析功能，告警支持按照源IP和数据库账号对SQL模板维度进行排行，支持在页面一键去除规则、添加规则白名单。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统计报表</w:t>
            </w: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系统内置</w:t>
            </w:r>
            <w:r>
              <w:fldChar w:fldCharType="begin"/>
            </w:r>
            <w:r>
              <w:instrText xml:space="preserve"> HYPERLINK \l "_内置多种报表模板" </w:instrText>
            </w:r>
            <w:r>
              <w:fldChar w:fldCharType="separate"/>
            </w:r>
            <w:r>
              <w:rPr>
                <w:rFonts w:hint="eastAsia" w:ascii="宋体" w:hAnsi="宋体" w:cs="宋体"/>
                <w:color w:val="000000" w:themeColor="text1"/>
                <w:sz w:val="21"/>
                <w:szCs w:val="21"/>
                <w14:textFill>
                  <w14:solidFill>
                    <w14:schemeClr w14:val="tx1"/>
                  </w14:solidFill>
                </w14:textFill>
              </w:rPr>
              <w:t>多种报表模板库</w:t>
            </w:r>
            <w:r>
              <w:rPr>
                <w:rFonts w:hint="eastAsia" w:ascii="宋体" w:hAnsi="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 xml:space="preserve">，报表不少于20种。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报表支持严格按照</w:t>
            </w:r>
            <w:r>
              <w:fldChar w:fldCharType="begin"/>
            </w:r>
            <w:r>
              <w:instrText xml:space="preserve"> HYPERLINK \l "_SOX、等级保护合规多维度" </w:instrText>
            </w:r>
            <w:r>
              <w:fldChar w:fldCharType="separate"/>
            </w:r>
            <w:r>
              <w:rPr>
                <w:rFonts w:hint="eastAsia" w:ascii="宋体" w:hAnsi="宋体" w:cs="宋体"/>
                <w:color w:val="000000" w:themeColor="text1"/>
                <w:sz w:val="21"/>
                <w:szCs w:val="21"/>
                <w14:textFill>
                  <w14:solidFill>
                    <w14:schemeClr w14:val="tx1"/>
                  </w14:solidFill>
                </w14:textFill>
              </w:rPr>
              <w:t>塞班斯（SOX）法案、等级保护标准</w:t>
            </w:r>
            <w:r>
              <w:rPr>
                <w:rFonts w:hint="eastAsia" w:ascii="宋体" w:hAnsi="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要求生成多维度综合报告。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w:t>
            </w:r>
            <w:r>
              <w:fldChar w:fldCharType="begin"/>
            </w:r>
            <w:r>
              <w:instrText xml:space="preserve"> HYPERLINK \l "_导出格式" </w:instrText>
            </w:r>
            <w:r>
              <w:fldChar w:fldCharType="separate"/>
            </w:r>
            <w:r>
              <w:rPr>
                <w:rFonts w:hint="eastAsia" w:ascii="宋体" w:hAnsi="宋体" w:cs="宋体"/>
                <w:color w:val="000000" w:themeColor="text1"/>
                <w:sz w:val="21"/>
                <w:szCs w:val="21"/>
                <w14:textFill>
                  <w14:solidFill>
                    <w14:schemeClr w14:val="tx1"/>
                  </w14:solidFill>
                </w14:textFill>
              </w:rPr>
              <w:t>HTML、PDF、P</w:t>
            </w:r>
            <w:r>
              <w:rPr>
                <w:rFonts w:hint="eastAsia" w:ascii="宋体" w:hAnsi="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 xml:space="preserve">NG、Word等格式的报表导出。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模型分析</w:t>
            </w:r>
          </w:p>
        </w:tc>
        <w:tc>
          <w:tcPr>
            <w:tcW w:w="4287" w:type="pct"/>
            <w:shd w:val="clear" w:color="auto" w:fill="auto"/>
            <w:vAlign w:val="center"/>
          </w:tcPr>
          <w:p>
            <w:pPr>
              <w:widowControl/>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Hans"/>
                <w14:textFill>
                  <w14:solidFill>
                    <w14:schemeClr w14:val="tx1"/>
                  </w14:solidFill>
                </w14:textFill>
              </w:rPr>
              <w:t>可依据客户端工具名、数据库用户名、客户端IP、操作系统用户名、客户端主机名、数据库名、操作类型、服务器IP等配置行为模型，并可查看相应告警日志</w:t>
            </w:r>
            <w:r>
              <w:rPr>
                <w:rFonts w:hint="eastAsia" w:ascii="宋体" w:hAnsi="宋体" w:cs="宋体"/>
                <w:b/>
                <w:bCs/>
                <w:color w:val="000000" w:themeColor="text1"/>
                <w:sz w:val="21"/>
                <w:szCs w:val="21"/>
                <w14:textFill>
                  <w14:solidFill>
                    <w14:schemeClr w14:val="tx1"/>
                  </w14:solidFill>
                </w14:textFill>
              </w:rPr>
              <w:t>（提供产品功能截图，并提供国家权威检测机构（公安部或国家保密科技测评中心）检测报告证明）</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可通过桑基图展示访问数据库的路径，路径包括数据库账号、IP地址、客户端工具、数据库名、表明等；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系统管理</w:t>
            </w: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支持用户界面告警、邮件、短信、钉钉、SYSLOG、企业微信方式告警。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采用B/S架构管理。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支持系统资源使用率超阈值、agent状态异常、长时间无审计日志时触发系统告警，且告警支持通过页面、SYSLOG、邮件、短信、钉钉、企业微信方式输出。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Agent管理</w:t>
            </w: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支持在审计管理端批量安装、卸载、重新安装审计代理。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支持在审计页面直接升级或回退已安装在数据库服务器上的Agent，且升级或回退不需要输入数据库服务器的账号、密码。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Agent支持设置CPU亲和性、最大资源使用率限制（CPU、内存）。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Hans"/>
                <w14:textFill>
                  <w14:solidFill>
                    <w14:schemeClr w14:val="tx1"/>
                  </w14:solidFill>
                </w14:textFill>
              </w:rPr>
              <w:t>可监控Agent的转发速率，以及Agent所在数据库服务器的CPU、内存利用率，并可设置CPU、内存利用率的上线阈值，超阈值时Agent将自动停止转发数据</w:t>
            </w:r>
            <w:r>
              <w:rPr>
                <w:rFonts w:hint="eastAsia" w:ascii="宋体" w:hAnsi="宋体" w:cs="宋体"/>
                <w:b/>
                <w:bCs/>
                <w:color w:val="000000" w:themeColor="text1"/>
                <w:sz w:val="21"/>
                <w:szCs w:val="21"/>
                <w14:textFill>
                  <w14:solidFill>
                    <w14:schemeClr w14:val="tx1"/>
                  </w14:solidFill>
                </w14:textFill>
              </w:rPr>
              <w:t>（需提供第三方权威机构检测报告证明）。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exac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支持根据系统CPU使用率、系统内存使用率、系统I/O使用率自动熔断</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三层关联</w:t>
            </w: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可提供客户端访问Web服务器的URL和应用服务器访问数据库的SQL语句关联功能</w:t>
            </w:r>
            <w:r>
              <w:rPr>
                <w:rFonts w:hint="eastAsia" w:ascii="宋体" w:hAnsi="宋体" w:cs="宋体"/>
                <w:b/>
                <w:bCs/>
                <w:color w:val="000000" w:themeColor="text1"/>
                <w:sz w:val="21"/>
                <w:szCs w:val="21"/>
                <w:lang w:eastAsia="zh-Hans"/>
                <w14:textFill>
                  <w14:solidFill>
                    <w14:schemeClr w14:val="tx1"/>
                  </w14:solidFill>
                </w14:textFill>
              </w:rPr>
              <w:t>（需提供第三方权威机构检测报告证明）</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支持通过部署agent实现java web环境100%准确关联。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易用性</w:t>
            </w: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支持对SQL语句进行业务化翻译</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支持资产组管理</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Hans"/>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lang w:eastAsia="zh-Hans"/>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支持分组管理，分组管理包含IP组、应用用户组、对象组、时间组、数据库账号组</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Hans"/>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Hans"/>
                <w14:textFill>
                  <w14:solidFill>
                    <w14:schemeClr w14:val="tx1"/>
                  </w14:solidFill>
                </w14:textFill>
              </w:rPr>
              <w:t>在页面支持ping、traceroute、nc命令测试连通性，支持配置路由信息</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可维护性</w:t>
            </w: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内置排错平台，支持一键检测系统的关键信息。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内置运维终端，可实现日志查看、设备状态检查、执行SQL语句、执行常用命令、特权运维等能力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before="48" w:beforeLines="20" w:after="48" w:afterLines="20"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支持</w:t>
            </w:r>
            <w:r>
              <w:rPr>
                <w:rFonts w:hint="eastAsia" w:ascii="宋体" w:hAnsi="宋体" w:cs="宋体"/>
                <w:color w:val="000000" w:themeColor="text1"/>
                <w:sz w:val="21"/>
                <w:szCs w:val="21"/>
                <w:lang w:eastAsia="zh-Hans"/>
                <w14:textFill>
                  <w14:solidFill>
                    <w14:schemeClr w14:val="tx1"/>
                  </w14:solidFill>
                </w14:textFill>
              </w:rPr>
              <w:t>系统</w:t>
            </w:r>
            <w:r>
              <w:rPr>
                <w:rFonts w:hint="eastAsia" w:ascii="宋体" w:hAnsi="宋体" w:cs="宋体"/>
                <w:color w:val="000000" w:themeColor="text1"/>
                <w:sz w:val="21"/>
                <w:szCs w:val="21"/>
                <w14:textFill>
                  <w14:solidFill>
                    <w14:schemeClr w14:val="tx1"/>
                  </w14:solidFill>
                </w14:textFill>
              </w:rPr>
              <w:t>引擎管理，调整</w:t>
            </w:r>
            <w:r>
              <w:rPr>
                <w:rFonts w:hint="eastAsia" w:ascii="宋体" w:hAnsi="宋体" w:cs="宋体"/>
                <w:color w:val="000000" w:themeColor="text1"/>
                <w:sz w:val="21"/>
                <w:szCs w:val="21"/>
                <w:lang w:eastAsia="zh-Hans"/>
                <w14:textFill>
                  <w14:solidFill>
                    <w14:schemeClr w14:val="tx1"/>
                  </w14:solidFill>
                </w14:textFill>
              </w:rPr>
              <w:t>系统</w:t>
            </w:r>
            <w:r>
              <w:rPr>
                <w:rFonts w:hint="eastAsia" w:ascii="宋体" w:hAnsi="宋体" w:cs="宋体"/>
                <w:color w:val="000000" w:themeColor="text1"/>
                <w:sz w:val="21"/>
                <w:szCs w:val="21"/>
                <w14:textFill>
                  <w14:solidFill>
                    <w14:schemeClr w14:val="tx1"/>
                  </w14:solidFill>
                </w14:textFill>
              </w:rPr>
              <w:t>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产品资质</w:t>
            </w: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数据库安全审计国标-增强级，提供证书复印件。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具备权威机构颁发的《信息技术产品安全测评证书》，级别EAL3+，提供证书复印件</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4287" w:type="pct"/>
            <w:shd w:val="clear" w:color="auto" w:fill="auto"/>
            <w:vAlign w:val="center"/>
          </w:tcPr>
          <w:p>
            <w:pPr>
              <w:widowControl/>
              <w:adjustRightInd w:val="0"/>
              <w:snapToGrid w:val="0"/>
              <w:spacing w:line="288"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具有自主知识产权和著作权，提供证书复印件。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jc w:val="center"/>
        </w:trPr>
        <w:tc>
          <w:tcPr>
            <w:tcW w:w="712"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★售后服务</w:t>
            </w:r>
          </w:p>
        </w:tc>
        <w:tc>
          <w:tcPr>
            <w:tcW w:w="4287"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提供7*24小时原厂商400支持热线；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sz w:val="21"/>
                <w:szCs w:val="21"/>
                <w14:textFill>
                  <w14:solidFill>
                    <w14:schemeClr w14:val="tx1"/>
                  </w14:solidFill>
                </w14:textFill>
              </w:rPr>
            </w:pPr>
          </w:p>
        </w:tc>
        <w:tc>
          <w:tcPr>
            <w:tcW w:w="4287"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提供不少于三年质保服务，包含但不限于硬件保修、系统升级等服务内容；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sz w:val="21"/>
                <w:szCs w:val="21"/>
                <w14:textFill>
                  <w14:solidFill>
                    <w14:schemeClr w14:val="tx1"/>
                  </w14:solidFill>
                </w14:textFill>
              </w:rPr>
            </w:pPr>
          </w:p>
        </w:tc>
        <w:tc>
          <w:tcPr>
            <w:tcW w:w="4287"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原厂商有常驻机构能为用户提供快速及时的现场售后服务（须提供企业登记注册证明）；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2" w:type="pct"/>
            <w:vMerge w:val="continue"/>
            <w:shd w:val="clear" w:color="auto" w:fill="auto"/>
            <w:vAlign w:val="center"/>
          </w:tcPr>
          <w:p>
            <w:pPr>
              <w:widowControl/>
              <w:adjustRightInd w:val="0"/>
              <w:snapToGrid w:val="0"/>
              <w:spacing w:line="288" w:lineRule="auto"/>
              <w:jc w:val="center"/>
              <w:rPr>
                <w:rFonts w:ascii="宋体" w:hAnsi="宋体" w:cs="宋体"/>
                <w:color w:val="000000" w:themeColor="text1"/>
                <w:sz w:val="21"/>
                <w:szCs w:val="21"/>
                <w14:textFill>
                  <w14:solidFill>
                    <w14:schemeClr w14:val="tx1"/>
                  </w14:solidFill>
                </w14:textFill>
              </w:rPr>
            </w:pPr>
          </w:p>
        </w:tc>
        <w:tc>
          <w:tcPr>
            <w:tcW w:w="4287" w:type="pct"/>
            <w:shd w:val="clear" w:color="auto" w:fill="auto"/>
            <w:vAlign w:val="center"/>
          </w:tcPr>
          <w:p>
            <w:pPr>
              <w:adjustRightInd w:val="0"/>
              <w:snapToGrid w:val="0"/>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要求提供原厂商不少于</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个注册信息安全专业人员（须提供近三个月内社保证明），提供不少于</w:t>
            </w: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个大数据分析师（须提供近三个月内社保证明），提供不少于</w:t>
            </w: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个云安全工程师（须提供近三个月内社保证明）以便提供快速的售后服务</w:t>
            </w:r>
            <w:r>
              <w:rPr>
                <w:rFonts w:hint="eastAsia" w:ascii="宋体" w:hAnsi="宋体" w:cs="宋体"/>
                <w:color w:val="000000" w:themeColor="text1"/>
                <w:sz w:val="21"/>
                <w:szCs w:val="21"/>
                <w:lang w:eastAsia="zh-CN"/>
                <w14:textFill>
                  <w14:solidFill>
                    <w14:schemeClr w14:val="tx1"/>
                  </w14:solidFill>
                </w14:textFill>
              </w:rPr>
              <w:t>。</w:t>
            </w:r>
          </w:p>
        </w:tc>
      </w:tr>
      <w:bookmarkEnd w:id="33"/>
    </w:tbl>
    <w:p>
      <w:pPr>
        <w:adjustRightInd w:val="0"/>
        <w:snapToGrid w:val="0"/>
        <w:spacing w:line="288" w:lineRule="auto"/>
        <w:rPr>
          <w:rFonts w:ascii="宋体" w:hAnsi="宋体"/>
          <w:b/>
          <w:bCs/>
          <w:spacing w:val="-4"/>
          <w:sz w:val="21"/>
          <w:szCs w:val="21"/>
        </w:rPr>
      </w:pP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3.2大数据安全平台扩容（3套）（核心产品）</w:t>
      </w:r>
    </w:p>
    <w:tbl>
      <w:tblPr>
        <w:tblStyle w:val="7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4"/>
        <w:gridCol w:w="978"/>
        <w:gridCol w:w="7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4" w:type="pct"/>
            <w:gridSpan w:val="2"/>
            <w:shd w:val="clear" w:color="auto" w:fill="auto"/>
            <w:vAlign w:val="center"/>
          </w:tcPr>
          <w:p>
            <w:pPr>
              <w:adjustRightInd w:val="0"/>
              <w:snapToGrid w:val="0"/>
              <w:spacing w:line="288"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技术指标</w:t>
            </w:r>
          </w:p>
        </w:tc>
        <w:tc>
          <w:tcPr>
            <w:tcW w:w="3985" w:type="pct"/>
            <w:shd w:val="clear" w:color="auto" w:fill="auto"/>
            <w:vAlign w:val="center"/>
          </w:tcPr>
          <w:p>
            <w:pPr>
              <w:adjustRightInd w:val="0"/>
              <w:snapToGrid w:val="0"/>
              <w:spacing w:line="288"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1014" w:type="pct"/>
            <w:gridSpan w:val="2"/>
            <w:shd w:val="clear" w:color="auto" w:fill="auto"/>
            <w:vAlign w:val="center"/>
          </w:tcPr>
          <w:p>
            <w:pPr>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★整体要求</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支持横向扩展，支持常见安全设备日志的汇集、分析与可视。支持邮件、短信等至少5种通信渠道对接。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1014" w:type="pct"/>
            <w:gridSpan w:val="2"/>
            <w:shd w:val="clear" w:color="auto" w:fill="auto"/>
            <w:vAlign w:val="center"/>
          </w:tcPr>
          <w:p>
            <w:pPr>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硬件要求</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CPU ≥24核，内存≥256GB，配置企业级存储磁盘总容量≥48TB；</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网口要求：千兆电口*4，千兆管理电口*1,2端口万兆光口。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1014" w:type="pct"/>
            <w:gridSpan w:val="2"/>
            <w:shd w:val="clear" w:color="auto" w:fill="auto"/>
            <w:vAlign w:val="center"/>
          </w:tcPr>
          <w:p>
            <w:pPr>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bCs/>
                <w:color w:val="000000" w:themeColor="text1"/>
                <w:kern w:val="0"/>
                <w:sz w:val="21"/>
                <w:szCs w:val="21"/>
                <w14:textFill>
                  <w14:solidFill>
                    <w14:schemeClr w14:val="tx1"/>
                  </w14:solidFill>
                </w14:textFill>
              </w:rPr>
              <w:t>硬件板卡要求</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在现有浙江大学大数据分析平台的硬件基础上，要求新增一块2端口万兆光纤板卡。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4" w:type="pct"/>
            <w:gridSpan w:val="2"/>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★性能要求</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数据采集和处理性能≥15000EPS，每条数据大小&gt;1KB；</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10亿数据关键字查询结果响应时间&lt;2秒。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4" w:type="pct"/>
            <w:gridSpan w:val="2"/>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数据接入</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支持通过多种类型的安全、泛安全类数据接入采集，应包括但不限于设备日志数据、流量数据、弱点漏洞数据、系统性能数据、威胁情报数据、资产人员数据；</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支持通过流量采集设备采集接入全流量数据，包含流量中的请求包和返回包等信息，并可在数据检索中体现包信息；</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支持接入文本格式、CVS等格式的文件数据，可通过模板文件的填写导入实现资产数据的导入和管理；</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支持通过云端对接、本地导入或手动编辑的方式，接入威胁情报数据。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安全分析能力</w:t>
            </w: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安全分析模型</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应内置包括规则模型、关联模型、统计模型、情报模型、AI模型等不少于5类安全分析模型；</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★安全分析模型支持自定义创建，可通过字段映射、静态值、模板、表达式等多种方式自由定义分析模型的告警名称、威胁等级、告警类型、攻击 链、可选字段、告警描述、处置建议等内容</w:t>
            </w:r>
            <w:r>
              <w:fldChar w:fldCharType="begin"/>
            </w:r>
            <w:r>
              <w:instrText xml:space="preserve"> HYPERLINK \l "证明材料5" </w:instrText>
            </w:r>
            <w:r>
              <w:fldChar w:fldCharType="separate"/>
            </w:r>
            <w:r>
              <w:rPr>
                <w:rFonts w:hint="eastAsia" w:ascii="宋体" w:hAnsi="宋体" w:cs="宋体"/>
                <w:b/>
                <w:bCs/>
                <w:color w:val="000000" w:themeColor="text1"/>
                <w:kern w:val="0"/>
                <w:sz w:val="21"/>
                <w:szCs w:val="21"/>
                <w14:textFill>
                  <w14:solidFill>
                    <w14:schemeClr w14:val="tx1"/>
                  </w14:solidFill>
                </w14:textFill>
              </w:rPr>
              <w:t>（需提供</w:t>
            </w:r>
            <w:r>
              <w:rPr>
                <w:rFonts w:hint="eastAsia" w:ascii="宋体" w:hAnsi="宋体" w:cs="宋体"/>
                <w:b/>
                <w:bCs/>
                <w:color w:val="000000" w:themeColor="text1"/>
                <w:sz w:val="21"/>
                <w:szCs w:val="21"/>
                <w14:textFill>
                  <w14:solidFill>
                    <w14:schemeClr w14:val="tx1"/>
                  </w14:solidFill>
                </w14:textFill>
              </w:rPr>
              <w:t>功能</w:t>
            </w:r>
            <w:r>
              <w:rPr>
                <w:rFonts w:hint="eastAsia" w:ascii="宋体" w:hAnsi="宋体" w:cs="宋体"/>
                <w:b/>
                <w:bCs/>
                <w:color w:val="000000" w:themeColor="text1"/>
                <w:kern w:val="0"/>
                <w:sz w:val="21"/>
                <w:szCs w:val="21"/>
                <w14:textFill>
                  <w14:solidFill>
                    <w14:schemeClr w14:val="tx1"/>
                  </w14:solidFill>
                </w14:textFill>
              </w:rPr>
              <w:t>截图证明）</w:t>
            </w:r>
            <w:r>
              <w:rPr>
                <w:rFonts w:hint="eastAsia" w:ascii="宋体" w:hAnsi="宋体" w:cs="宋体"/>
                <w:b/>
                <w:bCs/>
                <w:color w:val="000000" w:themeColor="text1"/>
                <w:kern w:val="0"/>
                <w:sz w:val="21"/>
                <w:szCs w:val="21"/>
                <w14:textFill>
                  <w14:solidFill>
                    <w14:schemeClr w14:val="tx1"/>
                  </w14:solidFill>
                </w14:textFill>
              </w:rPr>
              <w:fldChar w:fldCharType="end"/>
            </w:r>
            <w:r>
              <w:rPr>
                <w:rFonts w:hint="eastAsia" w:ascii="宋体" w:hAnsi="宋体" w:cs="宋体"/>
                <w:color w:val="000000" w:themeColor="text1"/>
                <w:kern w:val="0"/>
                <w:sz w:val="21"/>
                <w:szCs w:val="21"/>
                <w14:textFill>
                  <w14:solidFill>
                    <w14:schemeClr w14:val="tx1"/>
                  </w14:solidFill>
                </w14:textFill>
              </w:rPr>
              <w:t>；</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对安全日志里200个以上字段进行任意形式的逻辑与或非形式组合建模，字段包括但不限于应用协议、目的IP、目的主机名、目的端口、目的用户名、数据流方向、情报IOC等，运算方式包括但不限于等于、不等于、大于、小于、大于等于、小于等于、属于、不属于、存在、不存在，并能根据组合方式自动生成运算表达式。</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支持在安全模型列表一键查看模型产生的异常记录或安全告警。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AI高级分析</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平台内置不少于4种机器学习分析场景模型，可检测发现流量异常、网络会话数异常、网址访问失败异常、域名请求数异常等特定场景条件下的安全态势异常</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支持自定义部署AI机器学习模型，允许用户选用的高级机器学习算法不少于4种，通过输入任意指标类数据进行模型训练，发现异常行为并生成安全事件与告警，辅助用户发现潜在的安全风险</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支持时间序列、UEBA、贝叶斯、随机森林等长周期高级机器学习算法</w:t>
            </w:r>
            <w:r>
              <w:rPr>
                <w:rFonts w:hint="eastAsia" w:ascii="宋体" w:hAnsi="宋体" w:cs="宋体"/>
                <w:b/>
                <w:bCs/>
                <w:color w:val="000000" w:themeColor="text1"/>
                <w:kern w:val="0"/>
                <w:sz w:val="21"/>
                <w:szCs w:val="21"/>
                <w14:textFill>
                  <w14:solidFill>
                    <w14:schemeClr w14:val="tx1"/>
                  </w14:solidFill>
                </w14:textFill>
              </w:rPr>
              <w:t>（提供第三方权威机构出具的检测报告证明）</w:t>
            </w:r>
            <w:r>
              <w:rPr>
                <w:rFonts w:hint="eastAsia" w:ascii="宋体" w:hAnsi="宋体" w:cs="宋体"/>
                <w:color w:val="000000" w:themeColor="text1"/>
                <w:kern w:val="0"/>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威胁情报分析</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对接威胁情报中心，支持情报离线更新及在线更新，支持查看情报源中有效情报数、最近更新条数、最近更新时间、今日更新情报数、昨日命中情报数等；支持对接第三方威胁情报平台，支持配置情报碰撞接口及查询接口，支持查看请求接口数、今日情报请次数、昨日命中情报数，支持设置接口请求频率阈值，进行接口请求限制</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情报记录包含情报置信度、标签、组织名称、地理位置、运营商等信息；</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支持在平台中在线查询情报（如IP/域名/哈希），查询结果包括：威胁类型、情报来源、WHOIS、开放端口、关联情报、SSL证书、样本分析等多个维度的溯源结果。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网络实体分析画像</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★实现实体间网络互访关系的多级钻取，支持通过端口、协议、异常访问类型、攻击链等过滤关联关系，支持通过一键溯源进行威胁关系的自动拓展（</w:t>
            </w:r>
            <w:r>
              <w:rPr>
                <w:rFonts w:hint="eastAsia" w:ascii="宋体" w:hAnsi="宋体" w:cs="宋体"/>
                <w:b/>
                <w:bCs/>
                <w:color w:val="000000" w:themeColor="text1"/>
                <w:kern w:val="0"/>
                <w:sz w:val="21"/>
                <w:szCs w:val="21"/>
                <w14:textFill>
                  <w14:solidFill>
                    <w14:schemeClr w14:val="tx1"/>
                  </w14:solidFill>
                </w14:textFill>
              </w:rPr>
              <w:t>需提供</w:t>
            </w:r>
            <w:r>
              <w:rPr>
                <w:rFonts w:hint="eastAsia" w:ascii="宋体" w:hAnsi="宋体" w:cs="宋体"/>
                <w:b/>
                <w:bCs/>
                <w:color w:val="000000" w:themeColor="text1"/>
                <w:sz w:val="21"/>
                <w:szCs w:val="21"/>
                <w14:textFill>
                  <w14:solidFill>
                    <w14:schemeClr w14:val="tx1"/>
                  </w14:solidFill>
                </w14:textFill>
              </w:rPr>
              <w:t>功能</w:t>
            </w:r>
            <w:r>
              <w:rPr>
                <w:rFonts w:hint="eastAsia" w:ascii="宋体" w:hAnsi="宋体" w:cs="宋体"/>
                <w:b/>
                <w:bCs/>
                <w:color w:val="000000" w:themeColor="text1"/>
                <w:kern w:val="0"/>
                <w:sz w:val="21"/>
                <w:szCs w:val="21"/>
                <w14:textFill>
                  <w14:solidFill>
                    <w14:schemeClr w14:val="tx1"/>
                  </w14:solidFill>
                </w14:textFill>
              </w:rPr>
              <w:t>截图证明</w:t>
            </w:r>
            <w:r>
              <w:rPr>
                <w:rFonts w:hint="eastAsia" w:ascii="宋体" w:hAnsi="宋体" w:cs="宋体"/>
                <w:color w:val="000000" w:themeColor="text1"/>
                <w:kern w:val="0"/>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场景化分析</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需封禁的外部攻击者、外部攻击者成功入侵、CVE漏洞被利用成功的系统、感染勒索病毒的主机、正在挖矿的主机、威胁情报、存在Webshell后门的系统、收到钓鱼邮件的邮箱、正在暴力破解的攻击者、存在弱口令的系统等10种以上的内置安全分析场景，基于场景特性进行默认条件的数据聚合分析，支持至少3个任意字段的快速聚合分析，聚合后的所有数据均支持快速统计分析，展示统计排序信息，支持分析结果导出。</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支持自定义安全分析场景，可对安全告警的任意字段进行聚合分析，支持的聚合的字段不少于300个，支持分析结果导出。</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智能检索语句分析，支持检索语句的中英文、拼音智能联想，支持逻辑运算符与字段值的自动提示补全；检索语句支持快速保存，历史检索语句快速导入；检索语句可直接发布成实时分析模型，对实时数据进行分析与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归并告警分析</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对告警进行自动化归并，并通过告警列表条目颜色区分已读告警和未读告警；支持查看归并告警基本信息、原始告警列表、规则详情、全部字段、PCAP包详细信息，告警基本信息应包括资产安全域、地理位置、应用协议、响应请求码、攻击者、受害者、攻击链、规则编号、数据来源、请求头、请求体、响应头、响应体、数据报文等；支持在归并告警页面进行告警快速处置，包括添加白名单、联动防火墙、发布预警、生成工单等</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支持偏好设置，并与账号绑定，支持配置登录默认筛选告警条件，配置包括攻击结果、告警类型、威胁等级、攻击阶段、攻击方向、处置状态、时间范围等信息；支持告警自动刷新。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取证分析</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调查场景的四维自定义攻击流向图取证，攻击趋势取证、攻击链分布取证、和实体信息取证，展示攻击者和受害者的威胁情报与资产信息，可联动会话详情，点击查看不同溯源维度的会话详情，通过请求头，payload等详情字段定位攻击；</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支持在告警详情中展示数据血缘关系，包括数据来源、原始日志、规则模型及安全告警，支持下钻至原始日志和规则模型。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智能检索</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支持对原始日志数据、安全告警数据进行分类检索，从检索结果可关联威胁情报和资产信息并一键跳转。</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支持不少于10000条检索结果导出，导出内容字段可自定义选择，支持excel或CSV格式。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历史数据分析</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支持对原始日志的数据挖掘分析，可选择柱状图、折线图、面积图、表格、数值图、饼状图等多种报表样式自由对历史数据的任意字段进行可视化统计分析，辅助研判安全事件风险。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数据清洗</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支持通过检测项和过滤项对分析对象进行过滤筛选；</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支持通过任意字段进行组合，配置筛选条件并生成分析过滤规则。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白名单</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支持通过单条告警、聚合告警、归并告警添加白名单，快速过滤误报；支持通过配置模型名称、告警名称、IP、URL等告警字段生成白名单策略</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白名单生效时间设置包括长期生效和定期生效，定期生效时间支持自定义配置生效时间和失效时间；白名单策略支持对最近7天历史告警数据生效；可针对任意白名单策略进行启用或禁用；支持查看白名单本日匹配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数据字典管理</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支持管理系统中原始日志、异常记录、安全告警的所有字段和取值，每个字段均有清晰的说明；</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支持数据标准管理，用户可以根据实际需求，对字典进行编辑，支持手动修改、增加或删除相应的字段；</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数据字典支持管理系统中原始日志和告警数据中所有字段的类型、取值范围、字段说明，支持数值、字符串、枚举、ip等≥9种字段类型。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处置响应</w:t>
            </w: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自动化响应编排</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★支持前端拖拽式交互设计安全风险分析研判策略和联动响应剧本，支持多种策略编排动作，包括但不限于数据源、分析组件、处置响应等，可自动判断策略编排是否合理并弹窗提示</w:t>
            </w:r>
            <w:r>
              <w:rPr>
                <w:rFonts w:hint="eastAsia" w:ascii="宋体" w:hAnsi="宋体" w:cs="宋体"/>
                <w:color w:val="000000" w:themeColor="text1"/>
                <w:kern w:val="0"/>
                <w:sz w:val="21"/>
                <w:szCs w:val="21"/>
                <w14:textFill>
                  <w14:solidFill>
                    <w14:schemeClr w14:val="tx1"/>
                  </w14:solidFill>
                </w14:textFill>
              </w:rPr>
              <w:fldChar w:fldCharType="begin"/>
            </w:r>
            <w:r>
              <w:rPr>
                <w:rFonts w:hint="eastAsia" w:ascii="宋体" w:hAnsi="宋体" w:cs="宋体"/>
                <w:color w:val="000000" w:themeColor="text1"/>
                <w:kern w:val="0"/>
                <w:sz w:val="21"/>
                <w:szCs w:val="21"/>
                <w14:textFill>
                  <w14:solidFill>
                    <w14:schemeClr w14:val="tx1"/>
                  </w14:solidFill>
                </w14:textFill>
              </w:rPr>
              <w:instrText xml:space="preserve"> HYPERLINK  \l "证明材料36" </w:instrText>
            </w:r>
            <w:r>
              <w:rPr>
                <w:rFonts w:hint="eastAsia" w:ascii="宋体" w:hAnsi="宋体" w:cs="宋体"/>
                <w:color w:val="000000" w:themeColor="text1"/>
                <w:kern w:val="0"/>
                <w:sz w:val="21"/>
                <w:szCs w:val="21"/>
                <w14:textFill>
                  <w14:solidFill>
                    <w14:schemeClr w14:val="tx1"/>
                  </w14:solidFill>
                </w14:textFill>
              </w:rPr>
              <w:fldChar w:fldCharType="separate"/>
            </w:r>
            <w:r>
              <w:rPr>
                <w:rFonts w:hint="eastAsia" w:ascii="宋体" w:hAnsi="宋体" w:cs="宋体"/>
                <w:b/>
                <w:bCs/>
                <w:color w:val="000000" w:themeColor="text1"/>
                <w:kern w:val="0"/>
                <w:sz w:val="21"/>
                <w:szCs w:val="21"/>
                <w14:textFill>
                  <w14:solidFill>
                    <w14:schemeClr w14:val="tx1"/>
                  </w14:solidFill>
                </w14:textFill>
              </w:rPr>
              <w:t>（需提供</w:t>
            </w:r>
            <w:r>
              <w:rPr>
                <w:rFonts w:hint="eastAsia" w:ascii="宋体" w:hAnsi="宋体" w:cs="宋体"/>
                <w:b/>
                <w:bCs/>
                <w:color w:val="000000" w:themeColor="text1"/>
                <w:sz w:val="21"/>
                <w:szCs w:val="21"/>
                <w14:textFill>
                  <w14:solidFill>
                    <w14:schemeClr w14:val="tx1"/>
                  </w14:solidFill>
                </w14:textFill>
              </w:rPr>
              <w:t>功能</w:t>
            </w:r>
            <w:r>
              <w:rPr>
                <w:rFonts w:hint="eastAsia" w:ascii="宋体" w:hAnsi="宋体" w:cs="宋体"/>
                <w:b/>
                <w:bCs/>
                <w:color w:val="000000" w:themeColor="text1"/>
                <w:kern w:val="0"/>
                <w:sz w:val="21"/>
                <w:szCs w:val="21"/>
                <w14:textFill>
                  <w14:solidFill>
                    <w14:schemeClr w14:val="tx1"/>
                  </w14:solidFill>
                </w14:textFill>
              </w:rPr>
              <w:t>截图证明）</w:t>
            </w:r>
            <w:r>
              <w:rPr>
                <w:rFonts w:hint="eastAsia" w:ascii="宋体" w:hAnsi="宋体" w:cs="宋体"/>
                <w:color w:val="000000" w:themeColor="text1"/>
                <w:kern w:val="0"/>
                <w:sz w:val="21"/>
                <w:szCs w:val="21"/>
                <w14:textFill>
                  <w14:solidFill>
                    <w14:schemeClr w14:val="tx1"/>
                  </w14:solidFill>
                </w14:textFill>
              </w:rPr>
              <w:t>；</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fldChar w:fldCharType="end"/>
            </w:r>
            <w:r>
              <w:rPr>
                <w:rFonts w:hint="eastAsia" w:ascii="宋体" w:hAnsi="宋体" w:cs="宋体"/>
                <w:color w:val="000000" w:themeColor="text1"/>
                <w:kern w:val="0"/>
                <w:sz w:val="21"/>
                <w:szCs w:val="21"/>
                <w14:textFill>
                  <w14:solidFill>
                    <w14:schemeClr w14:val="tx1"/>
                  </w14:solidFill>
                </w14:textFill>
              </w:rPr>
              <w:t>支持通过任务看板查看自动响应任务的数量、状态、运行趋势；可查询并追踪每条自动化响应任务的运行阶段查看详细信息，任务执行过程中可加入安管人员控制环节，通过邮件、短信方式将告警和分析报告推送到对应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设备联动</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与不同品牌的网关类安全产品进行联动防护，防护策略支持设置每次阻断不同时长生效时间，时间设置包括10分钟，30分钟，6小时，24小时，72小时，7天，15天，30天，3个月，永久阻断，支持将安全策略同步下发至多台联动设备；</w:t>
            </w:r>
            <w:r>
              <w:rPr>
                <w:rFonts w:hint="eastAsia" w:ascii="宋体" w:hAnsi="宋体" w:cs="宋体"/>
                <w:b/>
                <w:bCs/>
                <w:color w:val="000000" w:themeColor="text1"/>
                <w:kern w:val="0"/>
                <w:sz w:val="21"/>
                <w:szCs w:val="21"/>
                <w14:textFill>
                  <w14:solidFill>
                    <w14:schemeClr w14:val="tx1"/>
                  </w14:solidFill>
                </w14:textFill>
              </w:rPr>
              <w:t>（需提供</w:t>
            </w:r>
            <w:r>
              <w:rPr>
                <w:rFonts w:hint="eastAsia" w:ascii="宋体" w:hAnsi="宋体" w:cs="宋体"/>
                <w:b/>
                <w:bCs/>
                <w:color w:val="000000" w:themeColor="text1"/>
                <w:sz w:val="21"/>
                <w:szCs w:val="21"/>
                <w14:textFill>
                  <w14:solidFill>
                    <w14:schemeClr w14:val="tx1"/>
                  </w14:solidFill>
                </w14:textFill>
              </w:rPr>
              <w:t>功能</w:t>
            </w:r>
            <w:r>
              <w:rPr>
                <w:rFonts w:hint="eastAsia" w:ascii="宋体" w:hAnsi="宋体" w:cs="宋体"/>
                <w:b/>
                <w:bCs/>
                <w:color w:val="000000" w:themeColor="text1"/>
                <w:kern w:val="0"/>
                <w:sz w:val="21"/>
                <w:szCs w:val="21"/>
                <w14:textFill>
                  <w14:solidFill>
                    <w14:schemeClr w14:val="tx1"/>
                  </w14:solidFill>
                </w14:textFill>
              </w:rPr>
              <w:t>截图证明）；</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xml:space="preserve">支持查看封禁设备数、封禁IP数、自动封禁IP数、本日解禁IP数、封禁订阅规则数、封禁SOAR剧本数，支持查看最近7天封禁IP趋势及防护设备封禁IP分布；支持封禁策略批量删除、解禁、导出； </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支持对接同厂商EDR同步资产指纹信息及脆弱性信息，支持与EDR集成联动，一键查杀木马病毒。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可视化安全分析</w:t>
            </w: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安全态势可视化</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安全态势的可视化呈现，以大屏的方式从攻击事件、资产安全、追踪溯源、运行监测、重保方案等多个维度进行可视化展示，提供不少于10块大屏展示界面；支持大屏轮播，可自定义选择播放大屏及轮播时间间隔；</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支持立体、平面、球面等多种维度的网络实体关系透视，可在大屏上展示不同实体的标签属性，包括但不限于DNS服务器、监管单位、邮件服务器、黑客组织、WEB服务器等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仪表盘</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支持可视化图表类型≥15种，包括但不限于时序图、饼图、柱状图等；</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统计类图表支持展示升序或降序的TOP5到TOP100，可针对数据中任意字段的计数、平均值、求和、最大值、最小值、唯一值等≥5种算子的统计结果配置可视化图表；</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可视化图表可通过拖拽配置组装成仪表盘，仪表盘不少于7种布局类型，仪表盘展示时支持时间范围自定义选择。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安全应用和运营</w:t>
            </w: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安全运营门户</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平台应具有统一的安全运营门户，作为多个安全态势分析与感知功能的统一入口，集成态势感知、威胁狩猎、通报预警、异常监测、运行监测等多个功能模块，实现平台内部业务、数据、服务、资源的无缝整合与集成；</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支持每个用户配置个人专属的统一门户，可配置项包括门户名称、应用名称、应用图标等</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统一门户应支持与第三方产品集成，一键跳转至产品功能界面。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资产管理</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★支持通过流量无侵入式自动发现资产，支持发现终端、Web服务器、DNS服务器、邮件服务器、FTP文件服务器等类型≥5种，其中web服务器支持自动识别服务域名和服务站点名称</w:t>
            </w:r>
            <w:r>
              <w:rPr>
                <w:rFonts w:hint="eastAsia" w:ascii="宋体" w:hAnsi="宋体" w:cs="宋体"/>
                <w:b/>
                <w:bCs/>
                <w:color w:val="000000" w:themeColor="text1"/>
                <w:kern w:val="0"/>
                <w:sz w:val="21"/>
                <w:szCs w:val="21"/>
                <w14:textFill>
                  <w14:solidFill>
                    <w14:schemeClr w14:val="tx1"/>
                  </w14:solidFill>
                </w14:textFill>
              </w:rPr>
              <w:t>（需提供</w:t>
            </w:r>
            <w:r>
              <w:rPr>
                <w:rFonts w:hint="eastAsia" w:ascii="宋体" w:hAnsi="宋体" w:cs="宋体"/>
                <w:b/>
                <w:bCs/>
                <w:color w:val="000000" w:themeColor="text1"/>
                <w:sz w:val="21"/>
                <w:szCs w:val="21"/>
                <w14:textFill>
                  <w14:solidFill>
                    <w14:schemeClr w14:val="tx1"/>
                  </w14:solidFill>
                </w14:textFill>
              </w:rPr>
              <w:t>功能</w:t>
            </w:r>
            <w:r>
              <w:rPr>
                <w:rFonts w:hint="eastAsia" w:ascii="宋体" w:hAnsi="宋体" w:cs="宋体"/>
                <w:b/>
                <w:bCs/>
                <w:color w:val="000000" w:themeColor="text1"/>
                <w:kern w:val="0"/>
                <w:sz w:val="21"/>
                <w:szCs w:val="21"/>
                <w14:textFill>
                  <w14:solidFill>
                    <w14:schemeClr w14:val="tx1"/>
                  </w14:solidFill>
                </w14:textFill>
              </w:rPr>
              <w:t>截图证明）</w:t>
            </w:r>
            <w:r>
              <w:rPr>
                <w:rFonts w:hint="eastAsia" w:ascii="宋体" w:hAnsi="宋体" w:cs="宋体"/>
                <w:color w:val="000000" w:themeColor="text1"/>
                <w:kern w:val="0"/>
                <w:sz w:val="21"/>
                <w:szCs w:val="21"/>
                <w14:textFill>
                  <w14:solidFill>
                    <w14:schemeClr w14:val="tx1"/>
                  </w14:solidFill>
                </w14:textFill>
              </w:rPr>
              <w:t>；</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支持资产信息的全量导入导出；</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支持一键访问安全设备的管理界面、监控大屏、设备日志、处置联动记录</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支持以单个IP地址、IP区间、子网掩码等3种模式录入安全域信息。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业务拓扑监控</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支持拓扑图的增加、修改、删除、导入、导出，支持创建&gt;50个业务或网络拓扑，支持建立平面拓扑和3D拓扑；</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支持监控安全域、Web业务系统、服务器、终端、安全设备等至少5种网络实体类型</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支持在拓扑图上一键点击跳转查询相应网络实体的安全日志。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安全运营</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支持统一的安全运营工作台，在工作台可以集中查看当前用户的待办工单、最新通报预警状态；</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工单详情与备注支持多种内容格式，包括但不限于文字、图片、超链接、表格、代码片段、附件等类型；</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支持工单举证信息一键溯源，工单处置人员可以直接定位到工单关联的原始信息进行查看；</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支持通过安全告警自动派发工单到对应的安全管理员，支持自定义编辑预警信息内容；</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支持将预警信息直接转为内部通报，支持将通报内容作为工单定向指派。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安管协作</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组织架构中各级单位支持设定独立的安全管理员、业务系统、安全域；</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多级管理员间资产风险信息的隔离和共享，总部用户管理员可以分配下属组织架构的功能权限，支持按月和按周考核各组织架构的安管工作成果。分部安全管理员只可以使用所属组织架构具备的功能，只能管理与分析所属组织架构的资产和数据，分部具备单独的态势感知大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重大活动保障</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★支持重大活动保障任务前期、中期、后期分阶段的任务管理，保障预案管理</w:t>
            </w:r>
            <w:r>
              <w:rPr>
                <w:rFonts w:hint="eastAsia" w:ascii="宋体" w:hAnsi="宋体" w:cs="宋体"/>
                <w:b/>
                <w:bCs/>
                <w:color w:val="000000" w:themeColor="text1"/>
                <w:kern w:val="0"/>
                <w:sz w:val="21"/>
                <w:szCs w:val="21"/>
                <w14:textFill>
                  <w14:solidFill>
                    <w14:schemeClr w14:val="tx1"/>
                  </w14:solidFill>
                </w14:textFill>
              </w:rPr>
              <w:t>（需提供</w:t>
            </w:r>
            <w:r>
              <w:rPr>
                <w:rFonts w:hint="eastAsia" w:ascii="宋体" w:hAnsi="宋体" w:cs="宋体"/>
                <w:b/>
                <w:bCs/>
                <w:color w:val="000000" w:themeColor="text1"/>
                <w:sz w:val="21"/>
                <w:szCs w:val="21"/>
                <w14:textFill>
                  <w14:solidFill>
                    <w14:schemeClr w14:val="tx1"/>
                  </w14:solidFill>
                </w14:textFill>
              </w:rPr>
              <w:t>功能</w:t>
            </w:r>
            <w:r>
              <w:rPr>
                <w:rFonts w:hint="eastAsia" w:ascii="宋体" w:hAnsi="宋体" w:cs="宋体"/>
                <w:b/>
                <w:bCs/>
                <w:color w:val="000000" w:themeColor="text1"/>
                <w:kern w:val="0"/>
                <w:sz w:val="21"/>
                <w:szCs w:val="21"/>
                <w14:textFill>
                  <w14:solidFill>
                    <w14:schemeClr w14:val="tx1"/>
                  </w14:solidFill>
                </w14:textFill>
              </w:rPr>
              <w:t>截图证明）；</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支持任意保障区域和系统，支持设置保障监控拓扑，支持重大保障态势大屏实时监测；</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保障监测视角覆盖云管端、边界、应用、安全设备等监测维度≥6种。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报告中心</w:t>
            </w: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分析报告</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支持用户自定义编辑报告模板，根据实际的业务需求自定义统计分析的指标对象，生成有针对性的分析报告，安全分析中的所有字段内容，都可以作为报告的统计对象，并自定义时间范围实现报告导出</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内置平台运营简报、安全分析运营、风险资产、深度威胁分析等4个以上报告模板，报告订阅支持通过邮件方式在设定时间点发送日报、周报、月报到不同邮箱，可配置订阅规则数量≥10条；</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选择生成报告时间范围、显示TOP、导出文件类型、报告名称；支持自定义报告统计条件，包括统计业务范围、告警威胁等级、告警处置状态、告警结果等；支持选择报告统计内容，包括安全风险等级、专家建议和指导、平台运行优化建议、详细检查结果和修复建议、摘要及简报、安全风险分析、安全事件处置成果等；支持在线编辑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系统管理</w:t>
            </w: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一站式运维</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支持大数据平台本身的计算、存储资源利用率监控；</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支持平台运行状态告警，运行监测引擎可独立于安全分析引擎工作，展示运维告警趋势、分布等</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大数据平台一键巡检，一键检查项包含但不限于数据健康、探针健康检查、大数据集群健康、Elasticsearch健康、实时流计算引擎健康、管理服务健康、服务器节点健康等多种维度检查，并能提供处置建议，一键导出各类服务的故障日志，包括但不限于Elasticsearch、Logstash、Kafka、实时计算引擎、操作系统等</w:t>
            </w:r>
            <w:r>
              <w:fldChar w:fldCharType="begin"/>
            </w:r>
            <w:r>
              <w:instrText xml:space="preserve"> HYPERLINK \l "证明材料40" </w:instrText>
            </w:r>
            <w:r>
              <w:fldChar w:fldCharType="separate"/>
            </w:r>
            <w:r>
              <w:rPr>
                <w:rFonts w:hint="eastAsia" w:ascii="宋体" w:hAnsi="宋体" w:cs="宋体"/>
                <w:b/>
                <w:bCs/>
                <w:color w:val="000000" w:themeColor="text1"/>
                <w:kern w:val="0"/>
                <w:sz w:val="21"/>
                <w:szCs w:val="21"/>
                <w14:textFill>
                  <w14:solidFill>
                    <w14:schemeClr w14:val="tx1"/>
                  </w14:solidFill>
                </w14:textFill>
              </w:rPr>
              <w:t>（需提供</w:t>
            </w:r>
            <w:r>
              <w:rPr>
                <w:rFonts w:hint="eastAsia" w:ascii="宋体" w:hAnsi="宋体" w:cs="宋体"/>
                <w:b/>
                <w:bCs/>
                <w:color w:val="000000" w:themeColor="text1"/>
                <w:sz w:val="21"/>
                <w:szCs w:val="21"/>
                <w14:textFill>
                  <w14:solidFill>
                    <w14:schemeClr w14:val="tx1"/>
                  </w14:solidFill>
                </w14:textFill>
              </w:rPr>
              <w:t>功能</w:t>
            </w:r>
            <w:r>
              <w:rPr>
                <w:rFonts w:hint="eastAsia" w:ascii="宋体" w:hAnsi="宋体" w:cs="宋体"/>
                <w:b/>
                <w:bCs/>
                <w:color w:val="000000" w:themeColor="text1"/>
                <w:kern w:val="0"/>
                <w:sz w:val="21"/>
                <w:szCs w:val="21"/>
                <w14:textFill>
                  <w14:solidFill>
                    <w14:schemeClr w14:val="tx1"/>
                  </w14:solidFill>
                </w14:textFill>
              </w:rPr>
              <w:t>截图证明）</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组件管理</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对接入探针进行统一管理，支持查看探针在线、离线、升级等状态，可对license已过期、即将过期探针进行预警，对内存长时间超出阈值、CPU长时间超出阈值探针进行预警；支持平台统一升级和配置探针，沙箱文件检测可配置安全文件大小、文件访问方向、检测配置、检测结果复用、真实格式识别、沙箱网络行为、沙箱操作系统配置等，流量探针可配置检测模式；</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对接入探针进行运行监控，包括探针注册时间、设备IP、版本信息、许可证信息、本日数据上送条数、CPU利用率、内存使用率、磁盘使用率、网络流量大小、数据上送条数等；支持导入许可及导出许可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拓展程序</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支持以拓展程序的方式进行功能扩展，保证平台主服务与扩展功能解耦，并支持拓展程序的启动、停止、重启、卸载，能够下载拓展程序日志；</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拓展程序安装记录管理，记录拓展程序历史版本、操作时旧版本、操作时间、操作类型、是否成功、结果信息等，其中操作类型包括安装、升级、卸载，能够根据关键字、操作时间、操作类型等进行安装记录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系统消息</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自定义消息订阅，订阅方式包括机器人、短信、邮件、钉钉等方式，消息类型包括告警通知、数据接入异常、系统资源使用超限、系统组件状态异常、探针状态消息、联动设备状态异常、系统配置异常、系统更新、日常运维等类型；</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支持系统消息声音播报，机器人弹窗提醒，支持按时间顺序及消息类型查看系统消息。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开放共享</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支持通过OpenAPI开放共享平台数据资源，第三方可获取平台告警数据、资产信息、安全报告、联动策略等数据。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用户管理</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提供三权分立的用户管理能力：配置员、用户管理员、审计员相互独立，支持根据对象属性自定义划分系统管理角色和一般用户角色，按照数据和功能分级灵活设置用户权限。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个性化配置管理</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常用配置参数的前端可视化修改，如信任IP、页面嵌套开关、首页缓存开关、告警推送主题、测试告警推送内容、ES集群IP、告警聚合条数上限配置、字体、主题皮肤颜色、产品名称LOGO等的前端可视化配置，满足用户的个性化配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系统恢复</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支持安全模型的启用状态恢复出厂设置；</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支持通过权限认证实现数据恢复出厂设置。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4" w:type="pct"/>
            <w:gridSpan w:val="2"/>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★售后服务</w:t>
            </w:r>
          </w:p>
        </w:tc>
        <w:tc>
          <w:tcPr>
            <w:tcW w:w="3985"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提供7*24小时原厂商400支持热线；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4" w:type="pct"/>
            <w:gridSpan w:val="2"/>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提供不少于三年质保服务，包含但不限于硬件保修、系统升级等服务内容；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4" w:type="pct"/>
            <w:gridSpan w:val="2"/>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原厂商有常驻机构能为用户提供快速及时的现场售后服务（须提供企业登记注册证明）；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014" w:type="pct"/>
            <w:gridSpan w:val="2"/>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要求提供原厂商不少于</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个注册信息安全专业人员（须提供近三个月内社保证明），提供不少于</w:t>
            </w: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个大数据分析师（须提供近三个月内社保证明），提供不少于</w:t>
            </w: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个云安全工程师（须提供近三个月内社保证明）以便提供快速的售后服务</w:t>
            </w:r>
            <w:r>
              <w:rPr>
                <w:rFonts w:hint="eastAsia" w:ascii="宋体" w:hAnsi="宋体" w:cs="宋体"/>
                <w:color w:val="000000" w:themeColor="text1"/>
                <w:sz w:val="21"/>
                <w:szCs w:val="21"/>
                <w:lang w:eastAsia="zh-CN"/>
                <w14:textFill>
                  <w14:solidFill>
                    <w14:schemeClr w14:val="tx1"/>
                  </w14:solidFill>
                </w14:textFill>
              </w:rPr>
              <w:t>。</w:t>
            </w:r>
          </w:p>
        </w:tc>
      </w:tr>
    </w:tbl>
    <w:p>
      <w:pPr>
        <w:adjustRightInd w:val="0"/>
        <w:snapToGrid w:val="0"/>
        <w:spacing w:line="288" w:lineRule="auto"/>
        <w:rPr>
          <w:rFonts w:ascii="宋体" w:hAnsi="宋体"/>
          <w:b/>
          <w:bCs/>
          <w:spacing w:val="-4"/>
          <w:sz w:val="21"/>
          <w:szCs w:val="21"/>
        </w:rPr>
      </w:pP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3.3流量分析探针（1套）</w:t>
      </w:r>
    </w:p>
    <w:tbl>
      <w:tblPr>
        <w:tblStyle w:val="7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4"/>
        <w:gridCol w:w="978"/>
        <w:gridCol w:w="7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14" w:type="pct"/>
            <w:gridSpan w:val="2"/>
            <w:shd w:val="clear" w:color="auto" w:fill="auto"/>
            <w:vAlign w:val="center"/>
          </w:tcPr>
          <w:p>
            <w:pPr>
              <w:adjustRightInd w:val="0"/>
              <w:snapToGrid w:val="0"/>
              <w:spacing w:line="288"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技术指标</w:t>
            </w:r>
          </w:p>
        </w:tc>
        <w:tc>
          <w:tcPr>
            <w:tcW w:w="3985" w:type="pct"/>
            <w:shd w:val="clear" w:color="auto" w:fill="auto"/>
            <w:vAlign w:val="center"/>
          </w:tcPr>
          <w:p>
            <w:pPr>
              <w:adjustRightInd w:val="0"/>
              <w:snapToGrid w:val="0"/>
              <w:spacing w:line="288"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4" w:type="pct"/>
            <w:gridSpan w:val="2"/>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★整体要求</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支持全栈流量的读取、解析、外发。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4" w:type="pct"/>
            <w:gridSpan w:val="2"/>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★规格要求</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高度：2U；</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电源：1+1冗余；</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内存≥128GB；</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可用硬盘容量≥4TB，支持RAID1；</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配置千兆电口不少于4个，千兆SFP光口不少于4个，万兆光口不少于2个；</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MTBF大于65000小时。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4" w:type="pct"/>
            <w:gridSpan w:val="2"/>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★性能要求</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吞吐率≥10Gbps。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 w:hRule="atLeast"/>
          <w:jc w:val="center"/>
        </w:trPr>
        <w:tc>
          <w:tcPr>
            <w:tcW w:w="1014" w:type="pct"/>
            <w:gridSpan w:val="2"/>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部署方式</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旁路镜像模式部署，不影响服务器处理性能和网络架构。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jc w:val="center"/>
        </w:trPr>
        <w:tc>
          <w:tcPr>
            <w:tcW w:w="506"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威胁检测</w:t>
            </w:r>
          </w:p>
        </w:tc>
        <w:tc>
          <w:tcPr>
            <w:tcW w:w="507" w:type="pct"/>
            <w:vMerge w:val="restart"/>
            <w:shd w:val="clear" w:color="auto" w:fill="auto"/>
            <w:vAlign w:val="center"/>
          </w:tcPr>
          <w:p>
            <w:pPr>
              <w:widowControl/>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行为审计与</w:t>
            </w:r>
          </w:p>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可疑通信检测</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具备违规操作、违规访问、违规应用、数据外发等300种以上行为审计检测规则，可针对任意单条规则进行启用和禁用。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具备隧道通信、可疑内容、恶意IP、恶意域名、恶意证书、远程控制等2000种以上可疑通信检测规则，可针对任意单条规则进行启用和禁用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探测扫描检测</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具备端口扫描、服务扫描、Web扫描、扫描器指纹检测等300种以上的探测扫描检测规则，可针对任意单条规则进行启用和禁用。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漏洞利用检测</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具备SMB漏洞、RDP漏洞、软件漏洞、设备漏洞、系统漏洞、拒绝服务漏洞、Shellcode等6000种以上漏洞利用检测规则，可针对任意单条规则进行启用和禁用。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恶意程序检测</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具备挖矿活动、流氓软件、可疑文件、勒索软件、僵木蠕、Webshell、恶意邮件等18000种以上恶意程序检测规则，可针对任意单条规则进行启用和禁用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配置风险检测</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具备弱口令风险、明文传输风险、HTTP配置风险、中间件配置风向、数据库配置风险、服务配置风险等300种以上配置风险检测规则。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主机和账号异常检测</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支持端口异常、主机对外扫描、主机对外攻击等主机异常检测，对任意单条检测规则支持启用和禁用。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支持登录异常、暴力破解、行为异常等账号异常检测，对任意单条检测规则支持启用和禁用。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Web攻击检测</w:t>
            </w:r>
          </w:p>
        </w:tc>
        <w:tc>
          <w:tcPr>
            <w:tcW w:w="3985" w:type="pct"/>
            <w:shd w:val="clear" w:color="auto" w:fill="auto"/>
            <w:vAlign w:val="center"/>
          </w:tcPr>
          <w:p>
            <w:pPr>
              <w:widowControl/>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Webshell请求、XSS攻击、SQL注入、远程代码执行、命令注入、远程文件包含、本地文件包含、文件上传、路径遍历、信息泄露、越权访问、XXE注入、网页篡改、SSRF攻击等14类Web攻击检测，具备8000种以上Web攻击检测规则，对任意单条检测规则支持启用和禁用</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支持基于语义分析的SQL注入精准检测。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威胁情报</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支持对接威胁情报中心，支持离线和在线两种情报更新方式，支持威胁情报碰撞检测，提供前一日威胁情报命中告警数量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抓包分析</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支持流量抓包分析，可定义接口、协议、抓包时长、文件大小、IP、端口、过滤条件等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检测规则自定义</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★支持自定义检测规则，可手动添加或从模板导入规则，可定义规则名称、规则等级、威胁类型、规则内容、协议、IP、端口、会话方向、攻击方向、参考信息、威胁描述、处置建议等</w:t>
            </w:r>
            <w:r>
              <w:rPr>
                <w:rFonts w:hint="eastAsia" w:ascii="宋体" w:hAnsi="宋体" w:cs="宋体"/>
                <w:b/>
                <w:bCs/>
                <w:color w:val="000000" w:themeColor="text1"/>
                <w:kern w:val="0"/>
                <w:sz w:val="21"/>
                <w:szCs w:val="21"/>
                <w14:textFill>
                  <w14:solidFill>
                    <w14:schemeClr w14:val="tx1"/>
                  </w14:solidFill>
                </w14:textFill>
              </w:rPr>
              <w:t>（需提供功能截图证明）</w:t>
            </w:r>
            <w:r>
              <w:rPr>
                <w:rFonts w:hint="eastAsia" w:ascii="宋体" w:hAnsi="宋体" w:cs="宋体"/>
                <w:color w:val="000000" w:themeColor="text1"/>
                <w:kern w:val="0"/>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检测模式自定义</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支持精准模式、默认模式、增强模式、自定义模式等4中检测模式。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jc w:val="center"/>
        </w:trPr>
        <w:tc>
          <w:tcPr>
            <w:tcW w:w="506"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告警分析</w:t>
            </w: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告警研判</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从请求头、请求体、响应头、响应体四个方面展示告警详情，并对攻击报文进行高亮显示；支持对威胁告警进行调查分析，针对威胁告警支持原始数据包取证分析，告警详情支持查看、下载PCAP包，在告警页面支持一键添加白名单</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支持展示高度聚合告警列表，对告警进行自动归并。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告警刷新检索</w:t>
            </w:r>
          </w:p>
        </w:tc>
        <w:tc>
          <w:tcPr>
            <w:tcW w:w="3985" w:type="pct"/>
            <w:shd w:val="clear" w:color="auto" w:fill="auto"/>
            <w:vAlign w:val="center"/>
          </w:tcPr>
          <w:p>
            <w:pPr>
              <w:widowControl/>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支持威胁告警自动刷新，刷新间隔包括15秒、30秒、1分钟、5分钟、10分钟、15分钟</w:t>
            </w:r>
          </w:p>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支持多维度告警查询，支持威胁告警快速过滤，包括筛选、排除操作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策略管理</w:t>
            </w: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流量采集策略</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支持自定义流量采集策略，包括过滤策略和采集策略，支持根据IP和协议进行过滤，包括DNS、FTP、HTTP、HTTPS、IMAP、KRB5、LDAP、POP3、RDP、SMB、SMTP、SSH、TELNET、TLS等。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弱口令检测</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页面支持多种类型弱口令策略可选，支持自定义弱口令字典，可选不同格式弱口令，支持导入自定义弱口令列表，支持Base64编码弱口令和md5散列弱口令检测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暴力破解</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支持HTTP、FTP、Telnet、SMB、邮件（SMTP、POP3、IMAP）、RDP、MySQL、Oracle、SQL Server、PostgreSQL等暴力破解检测，支持暴力破解检测策略自定义，支持添加暴力破解管理员账号检测，支持添加暴力破解白名单功能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文件还原</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支持文件还原，用户可新增指定后缀文件进行文件还原，具体协议包括HTTP、SMTP、POP3、IMAP、FTP、SMB、NFS等，还原文件支持推送沙箱进行安全检测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地理映射</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支持IP与地理信息映射，用户可新增指定IP或IP段的地理信息，支持IP或IP段地理信息导入导出，确保输出数据地理信息准确。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白名单</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支持根据告警字段添加细粒度白名单策略，匹配语法包括等于、不等于、正则匹配、正则不匹配、包含、不包含等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管理功能</w:t>
            </w:r>
          </w:p>
        </w:tc>
        <w:tc>
          <w:tcPr>
            <w:tcW w:w="507" w:type="pc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运行监控</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可监控系统CPU、内存、磁盘、TOP CPU进程、TOP内存进程使用情况、网口状态、网口流量、网口丢包情况及数据外送量大小情况，界面可支持 CPU、内存信息钻取，实时查看各进程CPU和内存使用情况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数据同步</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支持通过Kafka接口向态势感知平台报送流量审计数据与风险告警信息，Kafka推送支持传输加密，支持SSL加密。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自定义配置：可在前端页面自定义配置与态势感知平台之间的数据传输类型、各类型数据均支持任意字段的发送配置。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运维管理</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支持前端可视化配置管理接口、监听接口，包括修改IP地址、启用禁用监听接口等。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支持前端可视化进行设备运维操作，包括重启设备、关机重启服务、开关SSH服务等，可一键下载探针运行日志，方便运维人员日常运维工作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安全管理</w:t>
            </w: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提供三权分立的用户管理能力：系统管理员、用户管理员、操作审计员相互独立。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支持系统内用户的业务操作和运维操作。支持审计操作账号、客户端IP、操作时间、操作模块、操作结果，支持审计登录登出、规则运行状态调整、时间同步等10多种操作类型。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506"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507" w:type="pct"/>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支持屏幕水印，支持登录失败锁定用户、设置登录密码复杂度、密码过期、用户登录IP绑定等安全策略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4" w:type="pct"/>
            <w:gridSpan w:val="2"/>
            <w:vMerge w:val="restart"/>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★售后服务</w:t>
            </w:r>
          </w:p>
        </w:tc>
        <w:tc>
          <w:tcPr>
            <w:tcW w:w="3985"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提供7*24小时原厂商400支持热线；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14" w:type="pct"/>
            <w:gridSpan w:val="2"/>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提供不少于三年质保服务，包含但不限于硬件保修、系统升级等服务内容；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4" w:type="pct"/>
            <w:gridSpan w:val="2"/>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原厂商有常驻机构能为用户提供快速及时的现场售后服务（须提供企业登记注册证明）；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014" w:type="pct"/>
            <w:gridSpan w:val="2"/>
            <w:vMerge w:val="continue"/>
            <w:shd w:val="clear" w:color="auto" w:fill="auto"/>
            <w:vAlign w:val="center"/>
          </w:tcPr>
          <w:p>
            <w:pPr>
              <w:adjustRightInd w:val="0"/>
              <w:snapToGrid w:val="0"/>
              <w:spacing w:line="288" w:lineRule="auto"/>
              <w:jc w:val="center"/>
              <w:rPr>
                <w:rFonts w:ascii="宋体" w:hAnsi="宋体" w:cs="宋体"/>
                <w:color w:val="000000" w:themeColor="text1"/>
                <w:kern w:val="0"/>
                <w:sz w:val="21"/>
                <w:szCs w:val="21"/>
                <w14:textFill>
                  <w14:solidFill>
                    <w14:schemeClr w14:val="tx1"/>
                  </w14:solidFill>
                </w14:textFill>
              </w:rPr>
            </w:pPr>
          </w:p>
        </w:tc>
        <w:tc>
          <w:tcPr>
            <w:tcW w:w="3985" w:type="pct"/>
            <w:shd w:val="clear" w:color="auto" w:fill="auto"/>
            <w:vAlign w:val="center"/>
          </w:tcPr>
          <w:p>
            <w:pPr>
              <w:adjustRightInd w:val="0"/>
              <w:snapToGrid w:val="0"/>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要求提供原厂商不少于</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个注册信息安全专业人员（须提供近三个月内社保证明），提供不少于</w:t>
            </w: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个大数据分析师（须提供近三个月内社保证明），提供不少于</w:t>
            </w: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个云安全工程师（须提供近三个月内社保证明）以便提供快速的售后服务</w:t>
            </w:r>
            <w:r>
              <w:rPr>
                <w:rFonts w:hint="eastAsia" w:ascii="宋体" w:hAnsi="宋体" w:cs="宋体"/>
                <w:color w:val="000000" w:themeColor="text1"/>
                <w:sz w:val="21"/>
                <w:szCs w:val="21"/>
                <w:lang w:eastAsia="zh-CN"/>
                <w14:textFill>
                  <w14:solidFill>
                    <w14:schemeClr w14:val="tx1"/>
                  </w14:solidFill>
                </w14:textFill>
              </w:rPr>
              <w:t>。</w:t>
            </w:r>
          </w:p>
        </w:tc>
      </w:tr>
    </w:tbl>
    <w:p>
      <w:pPr>
        <w:adjustRightInd w:val="0"/>
        <w:snapToGrid w:val="0"/>
        <w:spacing w:line="288" w:lineRule="auto"/>
        <w:rPr>
          <w:rFonts w:ascii="宋体" w:hAnsi="宋体" w:cs="宋体"/>
          <w:color w:val="000000" w:themeColor="text1"/>
          <w:sz w:val="21"/>
          <w:szCs w:val="21"/>
          <w14:textFill>
            <w14:solidFill>
              <w14:schemeClr w14:val="tx1"/>
            </w14:solidFill>
          </w14:textFill>
        </w:rPr>
      </w:pP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3.4云安全管理平台扩容（1套）</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315"/>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shd w:val="clear" w:color="auto" w:fill="auto"/>
            <w:vAlign w:val="center"/>
          </w:tcPr>
          <w:p>
            <w:pPr>
              <w:widowControl/>
              <w:adjustRightInd w:val="0"/>
              <w:snapToGrid w:val="0"/>
              <w:spacing w:line="288"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模块</w:t>
            </w:r>
          </w:p>
        </w:tc>
        <w:tc>
          <w:tcPr>
            <w:tcW w:w="682" w:type="pct"/>
            <w:shd w:val="clear" w:color="auto" w:fill="auto"/>
            <w:vAlign w:val="center"/>
          </w:tcPr>
          <w:p>
            <w:pPr>
              <w:widowControl/>
              <w:adjustRightInd w:val="0"/>
              <w:snapToGrid w:val="0"/>
              <w:spacing w:line="288"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指标项</w:t>
            </w:r>
          </w:p>
        </w:tc>
        <w:tc>
          <w:tcPr>
            <w:tcW w:w="3809" w:type="pct"/>
            <w:shd w:val="clear" w:color="auto" w:fill="auto"/>
            <w:vAlign w:val="center"/>
          </w:tcPr>
          <w:p>
            <w:pPr>
              <w:widowControl/>
              <w:adjustRightInd w:val="0"/>
              <w:snapToGrid w:val="0"/>
              <w:spacing w:line="288"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90" w:type="pct"/>
            <w:gridSpan w:val="2"/>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★整体要求</w:t>
            </w:r>
          </w:p>
        </w:tc>
        <w:tc>
          <w:tcPr>
            <w:tcW w:w="3809" w:type="pct"/>
            <w:shd w:val="clear" w:color="auto" w:fill="auto"/>
            <w:vAlign w:val="center"/>
          </w:tcPr>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基于</w:t>
            </w:r>
            <w:r>
              <w:rPr>
                <w:rFonts w:ascii="宋体" w:hAnsi="宋体" w:cs="宋体"/>
                <w:color w:val="000000" w:themeColor="text1"/>
                <w:kern w:val="0"/>
                <w:sz w:val="21"/>
                <w:szCs w:val="21"/>
                <w14:textFill>
                  <w14:solidFill>
                    <w14:schemeClr w14:val="tx1"/>
                  </w14:solidFill>
                </w14:textFill>
              </w:rPr>
              <w:t>SDN理念，具有浙大云端安全能力配给功能，兼容国产操作系统和华为、曙光、戴尔等国内外通用服务器作为扩展节点。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07"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云安全管理平台</w:t>
            </w: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产品资质</w:t>
            </w:r>
          </w:p>
        </w:tc>
        <w:tc>
          <w:tcPr>
            <w:tcW w:w="3809" w:type="pct"/>
            <w:shd w:val="clear" w:color="auto" w:fill="auto"/>
            <w:vAlign w:val="center"/>
          </w:tcPr>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云安全管理平台具备国家版权局《计算机软件著作权登记证书》，提供证书复印件。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云安全管理平台具备权威机构颁发的《云计算产品信息安全认证证书》，提供证书复印件。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云安全管理平台通过国家信息安全等级保护三级的要求，提供等保三级备案证明材料。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硬件要求</w:t>
            </w:r>
          </w:p>
        </w:tc>
        <w:tc>
          <w:tcPr>
            <w:tcW w:w="3809" w:type="pct"/>
            <w:shd w:val="clear" w:color="auto" w:fill="auto"/>
            <w:vAlign w:val="center"/>
          </w:tcPr>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CPU：至少2路（要求每路CPU≥10核）；</w:t>
            </w:r>
          </w:p>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内存：至少256GB；</w:t>
            </w:r>
          </w:p>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磁盘：2块480GB固态SSD硬盘、10块4T标准SATA硬盘；</w:t>
            </w:r>
          </w:p>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接口：6个千兆电口、2个万兆光口；</w:t>
            </w:r>
          </w:p>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配置RAID卡，支持RAID 1/5/6/10/JBOD等；</w:t>
            </w:r>
          </w:p>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电源：冗余双电源；</w:t>
            </w:r>
          </w:p>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高度：2U；</w:t>
            </w:r>
            <w:r>
              <w:rPr>
                <w:rFonts w:hint="eastAsia" w:ascii="宋体" w:hAnsi="宋体" w:cs="宋体"/>
                <w:color w:val="000000" w:themeColor="text1"/>
                <w:kern w:val="0"/>
                <w:sz w:val="21"/>
                <w:szCs w:val="21"/>
                <w14:textFill>
                  <w14:solidFill>
                    <w14:schemeClr w14:val="tx1"/>
                  </w14:solidFill>
                </w14:textFill>
              </w:rPr>
              <w:br w:type="textWrapping"/>
            </w:r>
            <w:r>
              <w:rPr>
                <w:rFonts w:hint="eastAsia" w:ascii="宋体" w:hAnsi="宋体" w:cs="宋体"/>
                <w:color w:val="000000" w:themeColor="text1"/>
                <w:kern w:val="0"/>
                <w:sz w:val="21"/>
                <w:szCs w:val="21"/>
                <w14:textFill>
                  <w14:solidFill>
                    <w14:schemeClr w14:val="tx1"/>
                  </w14:solidFill>
                </w14:textFill>
              </w:rPr>
              <w:t>包含云安全资源池底层超融合操作系统。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部署方式</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安全资源池支持集群化部署，利用分布式存储技术为虚拟化安全能力提供高可用和动态迁移特性，同时支持硬件节点无缝扩展，快速提升集群规模。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支持使用云平台提供的虚拟化资源部署云安全管理平台及安全产品，无需进行云外流量牵引，避免对云平台网络改动过大和占用额外的硬件服务器资源。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云安全能力</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能够利用虚拟化资源为用户提供一站式安全解决方案，至少包括下一代防火墙、web应用防火墙、堡垒机、综合漏洞扫描、数据库审计、日志审计、主机安全（EDR）、APT等安全能力。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★WAF、EDR、网站监测等安全能力支持多租户共享架构，即通过一套安全产品向多个用户提供安全能力，用户无需单点登录跳转，在平台界面即可直接使用产品</w:t>
            </w:r>
            <w:r>
              <w:rPr>
                <w:rFonts w:hint="eastAsia" w:ascii="宋体" w:hAnsi="宋体" w:cs="宋体"/>
                <w:b/>
                <w:bCs/>
                <w:sz w:val="21"/>
                <w:szCs w:val="21"/>
              </w:rPr>
              <w:t>（需提供功能截图证明）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用户认证统一，被授权的用户可以直接通过管理平台登录到各个安全产品，包括下一代防火墙、web应用防火墙、堡垒机、综合漏洞扫描、数据库审计、日志审计、主机安全（EDR）、APT等所有安全产品，无需二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产品开通</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支持用户通过管理平台一键开通任意安全产品，安全产品成功开通后可自动获取计算、存储等虚拟化资源实现自动化部署和激活。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支持安全产品开通关联工单审批流程，普通用户申请开通安全产品，需要后台管理员审批通过后才能自动自动化部署和激活。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安全产品支持提供多种服务规格和服务时长，用户可根据业务规模和使用时间，按需选择开通不同规格的安全产品。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安全产品支持试用开通功能，试用产品具备全量产品功能但不消耗产品授权，提升用户体验。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支持管理员通过后台界面直接为租户分配安全产品，如新产品开通和到期产品续费。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云安全中心</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lang w:val="zh-CN"/>
              </w:rPr>
              <w:t>云安全中心支持平台管理员视角，管理员可查看平台整体安全态势，展示内容包括攻击次数态势、攻击源国家/地区TOP排名、主机/网站漏洞情况、风险网站数量、资产漏洞TOP排名、受攻击租户TOP排名、受攻击资产TOP排名、受攻击区域TOP排名、攻击事件详情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lang w:val="zh-CN"/>
              </w:rPr>
              <w:t>云安全中心支持按照区域查看平台安全态势，平台管理员既可以查看整体安全态势，也可以查看不同地市、区县的安全态势</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lang w:val="zh-CN"/>
              </w:rPr>
              <w:t>云安全中心具备租户视角，支持以安全态势大屏和dashboard方式展示租户的安全情况，包括资产总数、风险总数、风险资产TOP排名、安全风险TOP排名、防护事件TOP排名等信息。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lang w:val="zh-CN"/>
              </w:rPr>
              <w:t>支持按照业务系统及单个资产两种维度展示资产的风险状态，包括高危资产及已失陷资产。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lang w:val="zh-CN"/>
              </w:rPr>
            </w:pPr>
            <w:r>
              <w:rPr>
                <w:rFonts w:hint="eastAsia" w:ascii="宋体" w:hAnsi="宋体" w:cs="宋体"/>
                <w:sz w:val="21"/>
                <w:szCs w:val="21"/>
                <w:lang w:val="zh-CN"/>
              </w:rPr>
              <w:t>具备风险管理模块，租户可统一查看系统中存在的风险总数、高危风险及WEB安全事件，并支持基于安全产品及风险类型进行筛选查询。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lang w:val="zh-CN"/>
              </w:rPr>
              <w:t>具备日志查询模块，支持统一查看系统内产生的安全日志，日志支持按照搜索语法进行搜索，并支持根据时间进行自定义筛选。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多区域管理</w:t>
            </w:r>
          </w:p>
        </w:tc>
        <w:tc>
          <w:tcPr>
            <w:tcW w:w="3809" w:type="pct"/>
            <w:shd w:val="clear" w:color="auto" w:fill="auto"/>
            <w:vAlign w:val="center"/>
          </w:tcPr>
          <w:p>
            <w:pPr>
              <w:adjustRightInd w:val="0"/>
              <w:snapToGrid w:val="0"/>
              <w:spacing w:line="288" w:lineRule="auto"/>
              <w:rPr>
                <w:rFonts w:ascii="宋体" w:hAnsi="宋体" w:cs="宋体"/>
                <w:sz w:val="21"/>
                <w:szCs w:val="21"/>
                <w:lang w:val="zh-CN"/>
              </w:rPr>
            </w:pPr>
            <w:r>
              <w:rPr>
                <w:rFonts w:hint="eastAsia" w:ascii="宋体" w:hAnsi="宋体" w:cs="宋体"/>
                <w:sz w:val="21"/>
                <w:szCs w:val="21"/>
              </w:rPr>
              <w:t>★支持租户及管理员关联区域信息，同一租户可关联多个区域，并根据不同区域的业务按需订购安全产品；区域管理员拥有本区域内的租户管理、产品管理、工单管理等权限</w:t>
            </w:r>
            <w:r>
              <w:rPr>
                <w:rFonts w:hint="eastAsia" w:ascii="宋体" w:hAnsi="宋体" w:cs="宋体"/>
                <w:b/>
                <w:bCs/>
                <w:sz w:val="21"/>
                <w:szCs w:val="21"/>
              </w:rPr>
              <w:t>（需提供功能截图证明）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用户管理</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支持三权分立安全原则，系统内置多种身份角色，包括系统管理员、业务管理员、安全审计员、操作员等，并支持身份角色自定义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支持自定义角色权限，可根据业务需求对角色权限进行细粒度分配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支持设置临时成员，可自定义账号有效期，到期后成员将被自动踢出租户团队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新建用户的初始密码支持指定密码和随机生成两种方式，并支持用户首次登录强制修改密码。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支持以部门的方式对云租户内的普通成员进行划分，支持无限极添加下级部门，支持用户在不同部门间移动。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支持安全代运维功能，租户可以邀请运营专家加入团队进行代运维，运营专家也可以从运营视图单点登录到租户视图的安全产品进行运维协助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订单管理</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 xml:space="preserve">支持通过订单实现安全产品的订购统计，用户可以查看订单创建时间、购买时长、订单状态、订单详情等。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订单信息实现权限分离，管理员可以查看平台所有租户的产品订单，且支持按用户筛选产品订单，对于云租户只能查看自己的产品订单。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许可管理</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★安全产品支持以通用授权许可的方式进行开通，管理平台只记录许可总数，授权许可将根据产品种类及规格进行按需扣减消耗，支持两个许可合并激活一个高规格的安全产品</w:t>
            </w:r>
            <w:r>
              <w:rPr>
                <w:rFonts w:hint="eastAsia" w:ascii="宋体" w:hAnsi="宋体" w:cs="宋体"/>
                <w:b/>
                <w:bCs/>
                <w:sz w:val="21"/>
                <w:szCs w:val="21"/>
              </w:rPr>
              <w:t>（需提供功能截图证明）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支持以许可文件包的方式批量导入许可，通过扩展许可数量的方式扩展资源池可激活的安全产品数量。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产品许可支持回收，已开通使用的安全产品可删除销毁，销毁后的安全产品会自动释放回收许可，回收后的许可可用于开通其他安全产品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工单管理</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内置工单中心，默认提供服务申请、主机登录审批等多种业务类型的工单供租户选择，支持租户自定义工单流程，如审批节点及审批人员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支持管理员后台创建工单模板并发布给所有租户，供租户直接调用模板使用。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支持对工单进行分类统计查看，包括已办工单、待办工单及租户内部所有工单。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运维监控</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通过管理平台查看物理机和安全虚拟机的资源占用信息，包含资源ID／别名，CPU使用率、内存使用率、磁盘使用率，网络流入流出速率，并用可视化图表的方式展示CPU、内存、磁盘占用趋势，网络总流入流出速率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支持告警条件自定义，管理员可自定义告警时间、告警阈值、告警持续时间，支持通过邮件方式发送告警信息。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升级管理</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支持通过升级包的方式对管理平台进行升级，并支持版本回退。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支持对安全组件的特征库进行后台统一更新，如漏洞扫描、主机安全的特征库，管理员通过上传特征库文件，勾选需要升级的安全产品，即可完成一键更新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系统管理</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管理平台支持自定义安全策略，包括自定义用户密码强度、双因子认证、防暴力破解等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支持配置短信网关及邮件服务器，用于发送平台通知及安全告警。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支持管理员自定义平台logo和名称，支持用户自定义更换自己的用户头像。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云安全平台组件</w:t>
            </w: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Web应用防火墙（多租户共享型）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支持以SaaS化方式向云租户提供服务，无需为用户分配单独的虚拟机资源，通过管理平台即可直接使用Web应用防火墙产品。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支持区域访问控制，限制国外用户或者国内以市为最低行政单位的区域进行访问控制。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支持一键关停功能，当网站出现紧急安全事件时，可通过浏览器一键完成关停，防止产生恶劣影响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支持永久在线功能，当网站因为服务器故障、线路故障、电源等问题出现无法连接时，可显示云防护节点中的缓存页面。当在敏感期或特殊时期时，用户网站主动关闭期间可显示缓存页面，增强网站安全性。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提供访问日志记录与查询功能，可根据域名、URL、客户端IP、返回码、访问区域、访问时间段进行查询，查询后的日志数据可导出Excel文件。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漏洞扫描（多租户共享型）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支持以SaaS化方式向云租户提供服务，无需为用户分配单独的虚拟机资源，通过管理平台即可直接使用漏洞扫描产品。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支持产品内部的分权分域，在同一平台下每个租户只能查看自身网站和系统的漏洞风险状况，平台管理员可关注、查看所有租户的网站和系统漏洞风险整体情况。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支持对网站存在的脆弱性进行探查，包括SQL注入漏洞、跨站脚本漏洞、开放服务漏洞、网站第三方应用漏洞0day漏洞等。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支持主机漏洞扫描、端口暴露扫描、主机弱口令扫描功能。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支持漏洞扫描结果统一查看，可按照资产类型及漏洞等级筛选扫描结果。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支持查看漏洞详情，包括漏洞名称、威胁等级、发生时间、漏洞说明等信息，并提供漏洞修复建议。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网站监测（多租户共享型）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支持以SaaS化方式向云租户提供服务，无需为用户分配单独的虚拟机资源，通过管理平台即可直接使用网站监测产品。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支持产品内部的分权分域，在同一平台下每个租户只能查看自身网站和系统的安全监测状况，平台管理员可关注、查看所有租户的网站和系统安全监测整体情况。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支持对网站安全事件，如网站暗链、坏链、网站黑页、网站挖矿脚本、网站挂马、网站webshell等进行监测。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支持对网站内容，如错别字、敏感信息、身份信息泄露等内容进行监测。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敏感信息包含政治、反动、不文明用语、暴恐、低质灌水等默认分类，并支持敏感信息自定义。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支持错别字库自定义，可自行录入错别字监测规则，并支持错别字库批量上传。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支持监测报表时间周期自定义，如生成周报、月报；支持通过手机短信、电子邮件等方式向用户发送通知信息。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堡垒机（多租户共享型）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支持以SaaS化方式向云租户提供服务，无需为用户分配单独的虚拟机资源，通过管理平台即可直接使用堡垒机产品。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支持直接对管理平台中导入的云主机进行运维，无需再次手动录入主机资产到堡垒机系统，运维过程可直接进行记录审计。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支持会话守护功能，在会话操作过程中，中途短暂离开或者由于网络环境较差导致连接临时中断，该会话依然可以在后台持续运行，方便快速的恢复工作，可以自定义会话守护时长。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运维过程中可将运维会话分享给其他用户，所有参与者均可同步观看运维会话的操作过程，分享者可自由转交操作权限实现协同运维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支持对会话过程中执行的文件传输操作进行记录，并冗余备份传输的文件内容，例如文件被误删后，可以根据冗余备份的记录进行找回。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主机安全（多租户共享型）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管理端支持以SaaS化方式向云租户提供服务，无需为用户分配单独的虚拟机资源，通过管理平台即可直接使用主机安全产品。防护端通过软件代理的方式部署在主机上。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支持的操作系统：Windows server 2003、Windows server 2008、Windows server 2012、Windows server 2016、win xp 、win 7、win 8、win 10、Centos 5.0 +、Redhat 5.0 + 、Suse11 +、Ubuntu 14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支持对防护资产的CPU使用率、内存使用率、磁盘使用情况、网络上下行流量进行性能监控，并支持对性能监控项设置阈值，达到阈值后告警；支持对CPU、内存达到一定阈值时客户端进行熔断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对内网的恶意攻击行为进行识别（漏洞利用、横向移动），可阻断恶意探测行为。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支持登录防护，包括以系统账号为粒度的异常登录防护、支持四个任意维度(任意IP，任意域名，任意计算机名，任意时间)的系统登录访问策略设置</w:t>
            </w:r>
            <w:r>
              <w:rPr>
                <w:rFonts w:hint="eastAsia" w:ascii="宋体" w:hAnsi="宋体" w:cs="宋体"/>
                <w:b/>
                <w:bCs/>
                <w:sz w:val="21"/>
                <w:szCs w:val="21"/>
              </w:rPr>
              <w:t>（需提供功能截图证明）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网页防篡改：支持基于目录、进程、IP、用户等进行设置篡改规则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日志审计（专享镜像型）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支持Syslog、SNMP Trap、HTTP、ODBC/JDBC、WMI、FTP、SFTP协议日志收集。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支持解析规则性能以界面列表形式显示，可了解解析耗时、解析成功或失败次数等信息。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★三维关联分析；支持通过资产、安全知识库、弱点库三个维度分析事件是否存在威胁，并形成关联事件</w:t>
            </w:r>
            <w:r>
              <w:rPr>
                <w:rFonts w:hint="eastAsia" w:ascii="宋体" w:hAnsi="宋体" w:cs="宋体"/>
                <w:b/>
                <w:bCs/>
                <w:sz w:val="21"/>
                <w:szCs w:val="21"/>
              </w:rPr>
              <w:t>（提供第三方权威机构检测报告证明）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具备极高的日志查询性能，支持亿级的日志里根据做任意的关键字及其它的检索条件，在秒级里返回查询结果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内置SOX、ISO27001、WEB安全等解决方案包，内置完善的等级保护合规报表。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资产拓扑支持根据实际的用户环境进行编辑发布并可以和资产进行绑定。拓扑可以显示资产采集的事件数量、被采集资产的状态等信息</w:t>
            </w:r>
            <w:r>
              <w:rPr>
                <w:rFonts w:hint="eastAsia" w:ascii="宋体" w:hAnsi="宋体" w:cs="宋体"/>
                <w:b/>
                <w:bCs/>
                <w:sz w:val="21"/>
                <w:szCs w:val="21"/>
              </w:rPr>
              <w:t>（提供第三方权威机构检测报告证明）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数据库审计（专享镜像型）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★支持MongoDB、Hbase、Hive、Impala、Elastic Search、HDFS、Canssandra非关系型数据库审计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★支持数据库请求和返回的双向审计，提供审计返回时长、SQL错误代码、返回行数、返回结果集的审计</w:t>
            </w:r>
            <w:r>
              <w:rPr>
                <w:rFonts w:hint="eastAsia" w:ascii="宋体" w:hAnsi="宋体" w:cs="宋体"/>
                <w:b/>
                <w:bCs/>
                <w:sz w:val="21"/>
                <w:szCs w:val="21"/>
              </w:rPr>
              <w:t>（提供第三方权威机构检测报告证明）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支持基于数据库访问日期、时间、源/目的IP、来源、数据库名、数据库表名、字段值、数据库登录账号、SQL关键词、数据库返回码、SQL响应时间、数据库操作类型、影响行数等条件的审计查询。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支持严格按照塞班斯（SOX）法案、等级保护标准要求生成多维度综合报告。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支持用户界面告警、SNMP、邮件、短信、钉钉、SYSLOG方式告警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堡垒机（专享镜像型）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支持DB2、oracle、mysql、sqlserver主流数据库协议代理运维，可直接调用本地windows系统的数据库客户端工具，支持自动登录、无需应用发布前置机。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混合云管理：可以通过socks5/http/ssh等代理协议连接管理异地云资源区中私有网络的云主机</w:t>
            </w:r>
            <w:r>
              <w:rPr>
                <w:rFonts w:hint="eastAsia" w:ascii="宋体" w:hAnsi="宋体" w:cs="宋体"/>
                <w:b/>
                <w:bCs/>
                <w:sz w:val="21"/>
                <w:szCs w:val="21"/>
              </w:rPr>
              <w:t>（需提供功能截图证明）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H5运维方式：支持ssh、telnet、rlogin、rdp、vnc协议的H5运维，无需本地运维客户端工具</w:t>
            </w:r>
            <w:r>
              <w:rPr>
                <w:rFonts w:hint="eastAsia" w:ascii="宋体" w:hAnsi="宋体" w:cs="宋体"/>
                <w:b/>
                <w:bCs/>
                <w:sz w:val="21"/>
                <w:szCs w:val="21"/>
              </w:rPr>
              <w:t>（需提供功能截图证明）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★支持使用本地的SecurCRT/Xshell/OpenSSH工具通过SSH网关代理方式直接登录字符设备</w:t>
            </w:r>
            <w:r>
              <w:rPr>
                <w:rFonts w:hint="eastAsia" w:ascii="宋体" w:hAnsi="宋体" w:cs="宋体"/>
                <w:b/>
                <w:bCs/>
                <w:sz w:val="21"/>
                <w:szCs w:val="21"/>
              </w:rPr>
              <w:t>（需提供功能截图证明）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支持对运维操作会话的在线监控、实时阻断、日志回放、起止时间、来源用户、来源IP、目标设备、协议/应用类型、命令记录、操作内容（如对文件的上传、下载、删除、修改等操作等）的详细行为日志。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综合漏洞扫描（专享镜像型）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厂商漏洞特征库不少于53000条；提供详细的漏洞描述和对应的解决方案描述；漏洞知识库与CVE、CNNVD、Bugtraq、CNCVE、CNVD等国际、国内漏洞库标准兼容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具备弱口令扫描功能，支持弱口令扫描协议数量≥22种，包括FTP、SMB、RDP、SSH、TELNET、SMTP、IMAP、POP3、Oracle、MySQL、MSSQL、DB2、REDIS、MongoDB、Sybase、Rlogin、RTSP、SIP、Onvif、Weblogic、Tomcat、SNMP等协议进行弱口令扫描，允许用户自定义用户、密码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支持常见Web漏洞类型的扫描，包括SQL注入、跨站脚本、命令执行、命令注入、代码注入、弱口令、目录遍历、URL跳转、文件包含、反序列化漏洞、文件上传、CSRF跨站请求伪造、信息泄露等。支持OWASP TOP10等主流安全漏洞。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★支持Oracle、Mysql、SQLServer、DB2、informix、PostgreSQL、Sybase、达梦、人大金仓的授权数据库漏洞扫描</w:t>
            </w:r>
            <w:r>
              <w:rPr>
                <w:rFonts w:hint="eastAsia" w:ascii="宋体" w:hAnsi="宋体" w:cs="宋体"/>
                <w:b/>
                <w:bCs/>
                <w:sz w:val="21"/>
                <w:szCs w:val="21"/>
              </w:rPr>
              <w:t>（需提供功能截图证明）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支持授权管理，对已知用户名、密码的资产可预先进行配置存放至授权管理，再下发扫描任务时能对该部分资产的授权信息同步。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下一代防火墙（专享镜像型）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支持一体化安全策略：可基于设备接口/安全域、地址、服务、应用、用户、时间等属性，配置入侵防御、病毒防护、URL过滤、应用过滤等高级访问控制功能。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提供智能策略分析功能，支持隐藏策略分析、冗余策略分析、冲突策略分析、可合并策略分析、过期策略发现、空策略发现、策略宽松度分析，并在Web页面显示分析结果。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★支持对最多20级的压缩文件进行解压查杀</w:t>
            </w:r>
            <w:r>
              <w:rPr>
                <w:rFonts w:hint="eastAsia" w:ascii="宋体" w:hAnsi="宋体" w:cs="宋体"/>
                <w:b/>
                <w:bCs/>
                <w:sz w:val="21"/>
                <w:szCs w:val="21"/>
              </w:rPr>
              <w:t>（需提供功能截图证明）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应用特征不少于5000个，移动应用不少于450个；支持根据标签选择应用，预置标签分类至少包含安全风险、高带宽消耗、降低工作效率等10大类；支持给每个应用自定义标签；支持根据标签选择一类应用做控制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监控用户和应用实时流速，包括用户名、应用名、用户组、上行速率、下行速率、总速率、会话数等信息，帮助管理员快速甄别网络异常行为；支持数据下钻跳转至详细列表，通过趋势图形式，按照时间顺序展示会话和流量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APT攻击预警（专享镜像型）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检测WEB攻击、恶意文件攻击、远程控制、WEB后门访问、行为分析、DGA域名请求、SMB远程溢出攻击、弱口令、拒绝服务攻击、隧道通信、暴力破解、挖矿、恶意工具利用、扫描行为、漏洞利用、邮件社工攻击、ARP欺骗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详细展现风险等级、时间、威胁名称、攻击状态、攻击方向、客户端IP、客户端IP所在地理位置、服务端IP、服务端IP所在地理位置、报文、操作等信息，包含请求URL、请求类型、请求内容、请求头、Host、User-Agent、Accept、Accept-Language、Accept-Encoding、Accept-Charset、Keep-Alive、Connection、Cookie、请求参数、响应码、返回长度等信息，并提供相应的数据包下载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支持自定义启用/禁用暴力破解模型；并支持自定义配置模型统计周期、登录次数、聚合维度等参数。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★支持WEB特征攻击风险白名单配置，白名单颗粒度可达到WEB特征类别、WEB特征规则和HTTP方法</w:t>
            </w:r>
            <w:r>
              <w:rPr>
                <w:rFonts w:hint="eastAsia" w:ascii="宋体" w:hAnsi="宋体" w:cs="宋体"/>
                <w:b/>
                <w:bCs/>
                <w:sz w:val="21"/>
                <w:szCs w:val="21"/>
              </w:rPr>
              <w:t>（需提供功能截图证明）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导航：支持大屏展示网络攻击态势，包括攻击地图、紧急事件数/总数、恶意文件数/扫描总数、风险趋势（高、中、低风险）、流量分析（吞吐量、HTTP流量、DNS流量）、高危风险类别排名、攻击源区域排名、紧急事件/高危事件，并支持全球地图、中国地图切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主机安全（专享镜像型）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★支持对防护资产的CPU使用率、内存使用率、磁盘使用情况、网络上下行流量进行性能监控，并支持对性能监控项设置阈值，达到阈值后告警；支持对CPU、内存达到一定阈值时客户端进行熔断</w:t>
            </w:r>
            <w:r>
              <w:rPr>
                <w:rFonts w:hint="eastAsia" w:ascii="宋体" w:hAnsi="宋体" w:cs="宋体"/>
                <w:b/>
                <w:bCs/>
                <w:sz w:val="21"/>
                <w:szCs w:val="21"/>
              </w:rPr>
              <w:t>（需提供功能截图证明）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对内网的恶意攻击行为进行识别（漏洞利用、横向移动），可阻断恶意探测行为。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支持登录防护，包括以系统账号为粒度的异常登录防护、支持四个任意维度(任意IP，任意域名，任意计算机名，任意时间)的系统登录访问策略设置。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内核级防火墙（业务间流量东西向隔离）功能，包括IP、端口、协议、流向等细粒度权限控制。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网页防篡改：支持基于目录、进程、IP、用户等进行设置篡改规则。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支持病毒库、补丁库的离线升级及在线升级，支持管理中心平台、客户端程序、系统漏洞库、弱口令库的离线升级。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Web应用防火墙（专享镜像型）</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能够识别恶意请求含：跨站脚本(XSS)、注入式攻击（包括SQL注入、命令注入 、Cookie 注入等）、跨站请求伪造等应用攻击行为。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智能识别攻击者，对网站连接发起攻击的IP地址进行自动锁定禁止访问被攻击的网站，可配置攻击者识别策略和算法、锁定时间，展示攻击者发生的时间和攻击者所在的地理位置，支持配置将攻击者直接加入网络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根据细粒度检测条件对CC攻击进行检测防护，匹配条件由URL参数、请求头部字段、目标IP、请求方法、地理位置组成；测量指标由请求速率、请求集中度、请求离散度组成；客户端检测对象由IP、IP+URL、IP+User_Agent等参数组成；支持从请求头字段获取真实源IP地址</w:t>
            </w:r>
            <w:r>
              <w:rPr>
                <w:rFonts w:hint="eastAsia" w:ascii="宋体" w:hAnsi="宋体" w:cs="宋体"/>
                <w:b/>
                <w:bCs/>
                <w:sz w:val="21"/>
                <w:szCs w:val="21"/>
              </w:rPr>
              <w:t>（提供第三方权威机构检测报告证明）</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按地理区域对攻击次数等进行统计，并通过地图展示，支持在地图上对某一地理区域设置阻断此区域IP的访问。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具备审计网站正常访问流量的能力，提供按小时，天、月份生成用户的访问数据，能记录、查询所有用户对网站的访问情况，支持统计分析用户所访问URL TOP10数据、访问分文件类型、搜索引擎TOP10数据等信息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restar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网页防篡改</w:t>
            </w: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产品形态：软件形态，通过在网站服务器端部署代理</w:t>
            </w:r>
            <w:r>
              <w:rPr>
                <w:rFonts w:ascii="宋体" w:hAnsi="宋体" w:cs="宋体"/>
                <w:sz w:val="21"/>
                <w:szCs w:val="21"/>
              </w:rPr>
              <w:t>agent进行防护</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adjustRightInd w:val="0"/>
              <w:snapToGrid w:val="0"/>
              <w:spacing w:line="288" w:lineRule="auto"/>
              <w:rPr>
                <w:rFonts w:ascii="宋体" w:hAnsi="宋体" w:cs="宋体"/>
                <w:sz w:val="21"/>
                <w:szCs w:val="21"/>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支持的操作系统：</w:t>
            </w:r>
            <w:r>
              <w:rPr>
                <w:rFonts w:ascii="宋体" w:hAnsi="宋体" w:cs="宋体"/>
                <w:sz w:val="21"/>
                <w:szCs w:val="21"/>
              </w:rPr>
              <w:t>windows server 2003、 windows server 2008、windows server 2012、windows server 2016、win xp</w:t>
            </w:r>
            <w:r>
              <w:rPr>
                <w:rFonts w:hint="eastAsia" w:ascii="宋体" w:hAnsi="宋体" w:cs="宋体"/>
                <w:sz w:val="21"/>
                <w:szCs w:val="21"/>
              </w:rPr>
              <w:t>、</w:t>
            </w:r>
            <w:r>
              <w:rPr>
                <w:rFonts w:ascii="宋体" w:hAnsi="宋体" w:cs="宋体"/>
                <w:sz w:val="21"/>
                <w:szCs w:val="21"/>
              </w:rPr>
              <w:t>win 7、win 8、win10、Redhat</w:t>
            </w:r>
            <w:r>
              <w:rPr>
                <w:rFonts w:hint="eastAsia" w:ascii="宋体" w:hAnsi="宋体" w:cs="宋体"/>
                <w:sz w:val="21"/>
                <w:szCs w:val="21"/>
              </w:rPr>
              <w:t>、</w:t>
            </w:r>
            <w:r>
              <w:rPr>
                <w:rFonts w:ascii="宋体" w:hAnsi="宋体" w:cs="宋体"/>
                <w:sz w:val="21"/>
                <w:szCs w:val="21"/>
              </w:rPr>
              <w:t>CentOS、SUSE、Ubuntu等</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adjustRightInd w:val="0"/>
              <w:snapToGrid w:val="0"/>
              <w:spacing w:line="288" w:lineRule="auto"/>
              <w:rPr>
                <w:rFonts w:ascii="宋体" w:hAnsi="宋体" w:cs="宋体"/>
                <w:sz w:val="21"/>
                <w:szCs w:val="21"/>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目录保护：支持目录保护，可通过新增白名单实现对子目录的排除。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adjustRightInd w:val="0"/>
              <w:snapToGrid w:val="0"/>
              <w:spacing w:line="288" w:lineRule="auto"/>
              <w:rPr>
                <w:rFonts w:ascii="宋体" w:hAnsi="宋体" w:cs="宋体"/>
                <w:sz w:val="21"/>
                <w:szCs w:val="21"/>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一键启停文件保护：一键启停所有监控端（</w:t>
            </w:r>
            <w:r>
              <w:rPr>
                <w:rFonts w:ascii="宋体" w:hAnsi="宋体" w:cs="宋体"/>
                <w:sz w:val="21"/>
                <w:szCs w:val="21"/>
              </w:rPr>
              <w:t>agent）对文件开始／停止保护，不必登录WEB服务器进行停启</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adjustRightInd w:val="0"/>
              <w:snapToGrid w:val="0"/>
              <w:spacing w:line="288" w:lineRule="auto"/>
              <w:rPr>
                <w:rFonts w:ascii="宋体" w:hAnsi="宋体" w:cs="宋体"/>
                <w:sz w:val="21"/>
                <w:szCs w:val="21"/>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篡改规则：支持基于目录、进程、</w:t>
            </w:r>
            <w:r>
              <w:rPr>
                <w:rFonts w:ascii="宋体" w:hAnsi="宋体" w:cs="宋体"/>
                <w:sz w:val="21"/>
                <w:szCs w:val="21"/>
              </w:rPr>
              <w:t>IP、用户等进行设置篡改规则</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adjustRightInd w:val="0"/>
              <w:snapToGrid w:val="0"/>
              <w:spacing w:line="288" w:lineRule="auto"/>
              <w:rPr>
                <w:rFonts w:ascii="宋体" w:hAnsi="宋体" w:cs="宋体"/>
                <w:sz w:val="21"/>
                <w:szCs w:val="21"/>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自我保护：支持防篡改程序自我保护机制。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adjustRightInd w:val="0"/>
              <w:snapToGrid w:val="0"/>
              <w:spacing w:line="288" w:lineRule="auto"/>
              <w:rPr>
                <w:rFonts w:ascii="宋体" w:hAnsi="宋体" w:cs="宋体"/>
                <w:sz w:val="21"/>
                <w:szCs w:val="21"/>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网站漏洞防护：实时防护网站常见的</w:t>
            </w:r>
            <w:r>
              <w:rPr>
                <w:rFonts w:ascii="宋体" w:hAnsi="宋体" w:cs="宋体"/>
                <w:sz w:val="21"/>
                <w:szCs w:val="21"/>
              </w:rPr>
              <w:t>SQL</w:t>
            </w:r>
            <w:r>
              <w:rPr>
                <w:rFonts w:hint="eastAsia" w:ascii="宋体" w:hAnsi="宋体" w:cs="宋体"/>
                <w:sz w:val="21"/>
                <w:szCs w:val="21"/>
              </w:rPr>
              <w:t>注入攻击、</w:t>
            </w:r>
            <w:r>
              <w:rPr>
                <w:rFonts w:ascii="宋体" w:hAnsi="宋体" w:cs="宋体"/>
                <w:sz w:val="21"/>
                <w:szCs w:val="21"/>
              </w:rPr>
              <w:t>XSS</w:t>
            </w:r>
            <w:r>
              <w:rPr>
                <w:rFonts w:hint="eastAsia" w:ascii="宋体" w:hAnsi="宋体" w:cs="宋体"/>
                <w:sz w:val="21"/>
                <w:szCs w:val="21"/>
              </w:rPr>
              <w:t>跨站攻击、应用漏洞攻击，并可进行自定义规则。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adjustRightInd w:val="0"/>
              <w:snapToGrid w:val="0"/>
              <w:spacing w:line="288" w:lineRule="auto"/>
              <w:rPr>
                <w:rFonts w:ascii="宋体" w:hAnsi="宋体" w:cs="宋体"/>
                <w:sz w:val="21"/>
                <w:szCs w:val="21"/>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ascii="宋体" w:hAnsi="宋体" w:cs="宋体"/>
                <w:sz w:val="21"/>
                <w:szCs w:val="21"/>
              </w:rPr>
              <w:t>CC攻击防护：智能检测并防御CC攻击，保证网站正常服务能力。防护分为高中低三级，主要进行策略验证、Cookie验证、JS脚本混合验证、抗图片识别工具的干扰色图片验证</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adjustRightInd w:val="0"/>
              <w:snapToGrid w:val="0"/>
              <w:spacing w:line="288" w:lineRule="auto"/>
              <w:rPr>
                <w:rFonts w:ascii="宋体" w:hAnsi="宋体" w:cs="宋体"/>
                <w:sz w:val="21"/>
                <w:szCs w:val="21"/>
              </w:rPr>
            </w:pPr>
          </w:p>
        </w:tc>
        <w:tc>
          <w:tcPr>
            <w:tcW w:w="3809" w:type="pct"/>
            <w:shd w:val="clear" w:color="auto" w:fill="auto"/>
            <w:vAlign w:val="center"/>
          </w:tcPr>
          <w:p>
            <w:pPr>
              <w:adjustRightInd w:val="0"/>
              <w:snapToGrid w:val="0"/>
              <w:spacing w:line="288" w:lineRule="auto"/>
              <w:rPr>
                <w:rFonts w:ascii="宋体" w:hAnsi="宋体" w:cs="宋体"/>
                <w:sz w:val="18"/>
                <w:szCs w:val="18"/>
              </w:rPr>
            </w:pPr>
            <w:r>
              <w:rPr>
                <w:rFonts w:hint="eastAsia" w:ascii="宋体" w:hAnsi="宋体" w:cs="宋体"/>
                <w:sz w:val="21"/>
                <w:szCs w:val="21"/>
              </w:rPr>
              <w:t>网站访问控制：通过配置</w:t>
            </w:r>
            <w:r>
              <w:rPr>
                <w:rFonts w:ascii="宋体" w:hAnsi="宋体" w:cs="宋体"/>
                <w:sz w:val="21"/>
                <w:szCs w:val="21"/>
              </w:rPr>
              <w:t>IP或页面路径，对特定的访问者或页面进行放行或拦截</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adjustRightInd w:val="0"/>
              <w:snapToGrid w:val="0"/>
              <w:spacing w:line="288" w:lineRule="auto"/>
              <w:rPr>
                <w:rFonts w:ascii="宋体" w:hAnsi="宋体" w:cs="宋体"/>
                <w:sz w:val="21"/>
                <w:szCs w:val="21"/>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网站后门查杀：支持基于特征码、模糊</w:t>
            </w:r>
            <w:r>
              <w:rPr>
                <w:rFonts w:ascii="宋体" w:hAnsi="宋体" w:cs="宋体"/>
                <w:sz w:val="21"/>
                <w:szCs w:val="21"/>
              </w:rPr>
              <w:t>Hash、脚本虚拟机动态检测Webshell</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adjustRightInd w:val="0"/>
              <w:snapToGrid w:val="0"/>
              <w:spacing w:line="288" w:lineRule="auto"/>
              <w:rPr>
                <w:rFonts w:ascii="宋体" w:hAnsi="宋体" w:cs="宋体"/>
                <w:sz w:val="21"/>
                <w:szCs w:val="21"/>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站点管理：支持展示</w:t>
            </w:r>
            <w:r>
              <w:rPr>
                <w:rFonts w:ascii="宋体" w:hAnsi="宋体" w:cs="宋体"/>
                <w:sz w:val="21"/>
                <w:szCs w:val="21"/>
              </w:rPr>
              <w:t>Web服务器的终端详情，监听端口，运行进程，账号（包括隐藏账号）等信息</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adjustRightInd w:val="0"/>
              <w:snapToGrid w:val="0"/>
              <w:spacing w:line="288" w:lineRule="auto"/>
              <w:rPr>
                <w:rFonts w:ascii="宋体" w:hAnsi="宋体" w:cs="宋体"/>
                <w:sz w:val="21"/>
                <w:szCs w:val="21"/>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日志：支持查看多种日志记录，并支持导出日志操作。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7"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682" w:type="pct"/>
            <w:vMerge w:val="continue"/>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告警：支持邮件，</w:t>
            </w:r>
            <w:r>
              <w:rPr>
                <w:rFonts w:ascii="宋体" w:hAnsi="宋体" w:cs="宋体"/>
                <w:sz w:val="21"/>
                <w:szCs w:val="21"/>
              </w:rPr>
              <w:t>Syslog，短信，SNMPTrap</w:t>
            </w:r>
            <w:r>
              <w:rPr>
                <w:rFonts w:hint="eastAsia" w:ascii="宋体" w:hAnsi="宋体" w:cs="宋体"/>
                <w:sz w:val="21"/>
                <w:szCs w:val="21"/>
              </w:rPr>
              <w:t>，平台告警多种告警方式。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90" w:type="pct"/>
            <w:gridSpan w:val="2"/>
            <w:vMerge w:val="restar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★售后服务</w:t>
            </w:r>
          </w:p>
        </w:tc>
        <w:tc>
          <w:tcPr>
            <w:tcW w:w="3809"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提供7*24小时原厂商400支持热线；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90" w:type="pct"/>
            <w:gridSpan w:val="2"/>
            <w:vMerge w:val="continue"/>
            <w:shd w:val="clear" w:color="auto" w:fill="auto"/>
            <w:vAlign w:val="center"/>
          </w:tcPr>
          <w:p>
            <w:pPr>
              <w:widowControl/>
              <w:adjustRightInd w:val="0"/>
              <w:snapToGrid w:val="0"/>
              <w:spacing w:line="288" w:lineRule="auto"/>
              <w:jc w:val="center"/>
              <w:rPr>
                <w:rFonts w:ascii="宋体" w:hAnsi="宋体" w:cs="宋体"/>
                <w:color w:val="000000" w:themeColor="text1"/>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提供不少于三年质保服务，包含但不限于硬件保修、系统升级等服务内容；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90" w:type="pct"/>
            <w:gridSpan w:val="2"/>
            <w:vMerge w:val="continue"/>
            <w:shd w:val="clear" w:color="auto" w:fill="auto"/>
            <w:vAlign w:val="center"/>
          </w:tcPr>
          <w:p>
            <w:pPr>
              <w:widowControl/>
              <w:adjustRightInd w:val="0"/>
              <w:snapToGrid w:val="0"/>
              <w:spacing w:line="288" w:lineRule="auto"/>
              <w:jc w:val="center"/>
              <w:rPr>
                <w:rFonts w:ascii="宋体" w:hAnsi="宋体" w:cs="宋体"/>
                <w:color w:val="000000" w:themeColor="text1"/>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原厂商有常驻机构能为用户提供快速及时的现场售后服务（须提供企业登记注册证明）；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190" w:type="pct"/>
            <w:gridSpan w:val="2"/>
            <w:vMerge w:val="continue"/>
            <w:shd w:val="clear" w:color="auto" w:fill="auto"/>
            <w:vAlign w:val="center"/>
          </w:tcPr>
          <w:p>
            <w:pPr>
              <w:widowControl/>
              <w:adjustRightInd w:val="0"/>
              <w:snapToGrid w:val="0"/>
              <w:spacing w:line="288" w:lineRule="auto"/>
              <w:jc w:val="center"/>
              <w:rPr>
                <w:rFonts w:ascii="宋体" w:hAnsi="宋体" w:cs="宋体"/>
                <w:color w:val="000000" w:themeColor="text1"/>
                <w:sz w:val="21"/>
                <w:szCs w:val="21"/>
                <w14:textFill>
                  <w14:solidFill>
                    <w14:schemeClr w14:val="tx1"/>
                  </w14:solidFill>
                </w14:textFill>
              </w:rPr>
            </w:pPr>
          </w:p>
        </w:tc>
        <w:tc>
          <w:tcPr>
            <w:tcW w:w="3809" w:type="pct"/>
            <w:shd w:val="clear" w:color="auto" w:fill="auto"/>
            <w:vAlign w:val="center"/>
          </w:tcPr>
          <w:p>
            <w:pPr>
              <w:adjustRightInd w:val="0"/>
              <w:snapToGrid w:val="0"/>
              <w:spacing w:line="288"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要求提供原厂商不少于</w:t>
            </w: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个注册信息安全专业人员（须提供近三个月内社保证明），提供不少于</w:t>
            </w: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个大数据分析师（须提供近三个月内社保证明），提供不少于</w:t>
            </w:r>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个云安全工程师（须提供近三个月内社保证明）以便提供快速的售后服务</w:t>
            </w:r>
            <w:r>
              <w:rPr>
                <w:rFonts w:hint="eastAsia" w:ascii="宋体" w:hAnsi="宋体" w:cs="宋体"/>
                <w:color w:val="000000" w:themeColor="text1"/>
                <w:sz w:val="21"/>
                <w:szCs w:val="21"/>
                <w:lang w:val="en-US" w:eastAsia="zh-CN"/>
                <w14:textFill>
                  <w14:solidFill>
                    <w14:schemeClr w14:val="tx1"/>
                  </w14:solidFill>
                </w14:textFill>
              </w:rPr>
              <w:t>。</w:t>
            </w:r>
          </w:p>
        </w:tc>
      </w:tr>
    </w:tbl>
    <w:p>
      <w:pPr>
        <w:adjustRightInd w:val="0"/>
        <w:snapToGrid w:val="0"/>
        <w:spacing w:line="288" w:lineRule="auto"/>
        <w:rPr>
          <w:rFonts w:ascii="宋体" w:hAnsi="宋体"/>
          <w:b/>
          <w:bCs/>
          <w:spacing w:val="-4"/>
          <w:sz w:val="21"/>
          <w:szCs w:val="21"/>
        </w:rPr>
      </w:pP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3.5云安全组件通用授权（60个）</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8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jc w:val="center"/>
        </w:trPr>
        <w:tc>
          <w:tcPr>
            <w:tcW w:w="759" w:type="pct"/>
            <w:shd w:val="clear" w:color="auto" w:fill="auto"/>
            <w:vAlign w:val="center"/>
          </w:tcPr>
          <w:p>
            <w:pPr>
              <w:widowControl/>
              <w:adjustRightInd w:val="0"/>
              <w:snapToGrid w:val="0"/>
              <w:spacing w:line="288"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指标项</w:t>
            </w:r>
          </w:p>
        </w:tc>
        <w:tc>
          <w:tcPr>
            <w:tcW w:w="4240" w:type="pct"/>
            <w:shd w:val="clear" w:color="auto" w:fill="auto"/>
            <w:vAlign w:val="center"/>
          </w:tcPr>
          <w:p>
            <w:pPr>
              <w:widowControl/>
              <w:adjustRightInd w:val="0"/>
              <w:snapToGrid w:val="0"/>
              <w:spacing w:line="288" w:lineRule="auto"/>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9" w:type="pct"/>
            <w:shd w:val="clear" w:color="auto" w:fill="auto"/>
            <w:vAlign w:val="center"/>
          </w:tcPr>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★整体要求</w:t>
            </w:r>
          </w:p>
        </w:tc>
        <w:tc>
          <w:tcPr>
            <w:tcW w:w="4240" w:type="pct"/>
            <w:shd w:val="clear" w:color="auto" w:fill="auto"/>
            <w:vAlign w:val="center"/>
          </w:tcPr>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基于云安全管理平台配给不少于</w:t>
            </w:r>
            <w:r>
              <w:rPr>
                <w:rFonts w:ascii="宋体" w:hAnsi="宋体" w:cs="宋体"/>
                <w:color w:val="000000" w:themeColor="text1"/>
                <w:kern w:val="0"/>
                <w:sz w:val="21"/>
                <w:szCs w:val="21"/>
                <w14:textFill>
                  <w14:solidFill>
                    <w14:schemeClr w14:val="tx1"/>
                  </w14:solidFill>
                </w14:textFill>
              </w:rPr>
              <w:t>60</w:t>
            </w:r>
            <w:r>
              <w:rPr>
                <w:rFonts w:hint="eastAsia" w:ascii="宋体" w:hAnsi="宋体" w:cs="宋体"/>
                <w:color w:val="000000" w:themeColor="text1"/>
                <w:kern w:val="0"/>
                <w:sz w:val="21"/>
                <w:szCs w:val="21"/>
                <w14:textFill>
                  <w14:solidFill>
                    <w14:schemeClr w14:val="tx1"/>
                  </w14:solidFill>
                </w14:textFill>
              </w:rPr>
              <w:t>个安全组件通用授权，</w:t>
            </w:r>
            <w:r>
              <w:rPr>
                <w:rFonts w:ascii="宋体" w:hAnsi="宋体" w:cs="宋体"/>
                <w:color w:val="000000" w:themeColor="text1"/>
                <w:kern w:val="0"/>
                <w:sz w:val="21"/>
                <w:szCs w:val="21"/>
                <w14:textFill>
                  <w14:solidFill>
                    <w14:schemeClr w14:val="tx1"/>
                  </w14:solidFill>
                </w14:textFill>
              </w:rPr>
              <w:t>提</w:t>
            </w:r>
            <w:r>
              <w:rPr>
                <w:rFonts w:hint="eastAsia" w:ascii="宋体" w:hAnsi="宋体" w:cs="宋体"/>
                <w:color w:val="000000" w:themeColor="text1"/>
                <w:kern w:val="0"/>
                <w:sz w:val="21"/>
                <w:szCs w:val="21"/>
                <w14:textFill>
                  <w14:solidFill>
                    <w14:schemeClr w14:val="tx1"/>
                  </w14:solidFill>
                </w14:textFill>
              </w:rPr>
              <w:t>高学院及使用人员的授权数量及安全组件的使用情况。要求能够与浙江大学原云安全组件通用授权打通使用。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9" w:type="pct"/>
            <w:shd w:val="clear" w:color="auto" w:fill="auto"/>
            <w:vAlign w:val="center"/>
          </w:tcPr>
          <w:p>
            <w:pPr>
              <w:widowControl/>
              <w:adjustRightInd w:val="0"/>
              <w:snapToGrid w:val="0"/>
              <w:spacing w:line="288" w:lineRule="auto"/>
              <w:jc w:val="center"/>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授权说明</w:t>
            </w:r>
          </w:p>
        </w:tc>
        <w:tc>
          <w:tcPr>
            <w:tcW w:w="4240" w:type="pct"/>
            <w:shd w:val="clear" w:color="auto" w:fill="auto"/>
            <w:vAlign w:val="center"/>
          </w:tcPr>
          <w:p>
            <w:pPr>
              <w:widowControl/>
              <w:adjustRightInd w:val="0"/>
              <w:snapToGrid w:val="0"/>
              <w:spacing w:line="288" w:lineRule="auto"/>
              <w:jc w:val="left"/>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需提供60个云安全组件通用授权，用于云安全管理平台安全组件开通扩容。</w:t>
            </w:r>
          </w:p>
          <w:p>
            <w:pPr>
              <w:widowControl/>
              <w:adjustRightInd w:val="0"/>
              <w:snapToGrid w:val="0"/>
              <w:spacing w:line="288"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可开通组件至少包括下一代防火墙、web应用防火墙、堡垒机、综合漏洞扫描、数据库审计、网站监测、日志审计、主机安全（EDR）、APT攻击预警、网页防篡改。</w:t>
            </w:r>
          </w:p>
        </w:tc>
      </w:tr>
    </w:tbl>
    <w:p>
      <w:pPr>
        <w:adjustRightInd w:val="0"/>
        <w:snapToGrid w:val="0"/>
        <w:spacing w:line="288" w:lineRule="auto"/>
        <w:rPr>
          <w:rFonts w:ascii="宋体" w:hAnsi="宋体"/>
          <w:b/>
          <w:bCs/>
          <w:sz w:val="21"/>
          <w:szCs w:val="21"/>
        </w:rPr>
      </w:pPr>
    </w:p>
    <w:p>
      <w:pPr>
        <w:rPr>
          <w:rFonts w:ascii="宋体" w:hAnsi="宋体"/>
          <w:b/>
          <w:sz w:val="32"/>
          <w:szCs w:val="32"/>
        </w:rPr>
      </w:pPr>
      <w:r>
        <w:rPr>
          <w:rFonts w:hint="eastAsia" w:ascii="宋体" w:hAnsi="宋体"/>
          <w:b/>
          <w:sz w:val="32"/>
          <w:szCs w:val="32"/>
        </w:rPr>
        <w:br w:type="page"/>
      </w:r>
    </w:p>
    <w:p>
      <w:pPr>
        <w:adjustRightInd w:val="0"/>
        <w:snapToGrid w:val="0"/>
        <w:spacing w:line="288" w:lineRule="auto"/>
        <w:jc w:val="center"/>
        <w:outlineLvl w:val="0"/>
        <w:rPr>
          <w:rFonts w:ascii="宋体" w:hAnsi="宋体"/>
          <w:sz w:val="32"/>
          <w:szCs w:val="32"/>
        </w:rPr>
      </w:pPr>
      <w:r>
        <w:rPr>
          <w:rFonts w:hint="eastAsia" w:ascii="宋体" w:hAnsi="宋体"/>
          <w:b/>
          <w:sz w:val="32"/>
          <w:szCs w:val="32"/>
        </w:rPr>
        <w:t>第三章  投标人须知</w:t>
      </w:r>
    </w:p>
    <w:p>
      <w:pPr>
        <w:adjustRightInd w:val="0"/>
        <w:snapToGrid w:val="0"/>
        <w:spacing w:line="288" w:lineRule="auto"/>
        <w:ind w:left="238"/>
        <w:jc w:val="center"/>
        <w:rPr>
          <w:rFonts w:ascii="宋体" w:hAnsi="宋体"/>
          <w:b/>
          <w:sz w:val="21"/>
          <w:szCs w:val="21"/>
        </w:rPr>
      </w:pPr>
      <w:r>
        <w:rPr>
          <w:rFonts w:hint="eastAsia" w:ascii="宋体" w:hAnsi="宋体"/>
          <w:b/>
          <w:sz w:val="21"/>
          <w:szCs w:val="21"/>
        </w:rPr>
        <w:t>投标人</w:t>
      </w:r>
      <w:r>
        <w:rPr>
          <w:rFonts w:ascii="宋体" w:hAnsi="宋体"/>
          <w:b/>
          <w:sz w:val="21"/>
          <w:szCs w:val="21"/>
        </w:rPr>
        <w:t>须知</w:t>
      </w:r>
      <w:r>
        <w:rPr>
          <w:rFonts w:hint="eastAsia" w:ascii="宋体" w:hAnsi="宋体"/>
          <w:b/>
          <w:sz w:val="21"/>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8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585"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77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本招标文件适用于浙江大学等保配套安全设备扩容建设</w:t>
            </w:r>
            <w:r>
              <w:rPr>
                <w:rFonts w:ascii="宋体" w:hAnsi="宋体"/>
                <w:sz w:val="21"/>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招标方式</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投标委托</w:t>
            </w:r>
          </w:p>
        </w:tc>
        <w:tc>
          <w:tcPr>
            <w:tcW w:w="6779" w:type="dxa"/>
            <w:vAlign w:val="center"/>
          </w:tcPr>
          <w:p>
            <w:pPr>
              <w:adjustRightInd w:val="0"/>
              <w:snapToGrid w:val="0"/>
              <w:spacing w:line="288" w:lineRule="auto"/>
              <w:rPr>
                <w:rFonts w:ascii="宋体" w:hAnsi="宋体"/>
                <w:sz w:val="21"/>
                <w:szCs w:val="21"/>
              </w:rPr>
            </w:pPr>
            <w:bookmarkStart w:id="34" w:name="_Hlk71289523"/>
            <w:r>
              <w:rPr>
                <w:rFonts w:ascii="宋体" w:hAnsi="宋体"/>
                <w:sz w:val="21"/>
                <w:szCs w:val="21"/>
              </w:rPr>
              <w:t>1</w:t>
            </w:r>
            <w:r>
              <w:rPr>
                <w:rFonts w:hint="eastAsia" w:ascii="宋体" w:hAnsi="宋体"/>
                <w:sz w:val="21"/>
                <w:szCs w:val="21"/>
              </w:rPr>
              <w:t>.▲投标人授权代表必须为投标人本单位在职职工，并提供2021年12月（含）以后任意一月社保缴纳证明（授权代表为法定代表人可不提供）。</w:t>
            </w:r>
          </w:p>
          <w:p>
            <w:pPr>
              <w:adjustRightInd w:val="0"/>
              <w:snapToGrid w:val="0"/>
              <w:spacing w:line="288" w:lineRule="auto"/>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如投标人代表不是法定代表人，须提供</w:t>
            </w:r>
            <w:r>
              <w:rPr>
                <w:rFonts w:ascii="宋体" w:hAnsi="宋体"/>
                <w:bCs/>
                <w:sz w:val="21"/>
                <w:szCs w:val="21"/>
              </w:rPr>
              <w:t>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投标费用</w:t>
            </w:r>
          </w:p>
        </w:tc>
        <w:tc>
          <w:tcPr>
            <w:tcW w:w="677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100-500</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0.77</w:t>
                  </w:r>
                </w:p>
              </w:tc>
            </w:tr>
          </w:tbl>
          <w:p>
            <w:pPr>
              <w:adjustRightInd w:val="0"/>
              <w:snapToGrid w:val="0"/>
              <w:spacing w:line="288"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投标保证金（元）</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联合体投标</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本项目不允许转包；</w:t>
            </w:r>
          </w:p>
          <w:p>
            <w:pPr>
              <w:adjustRightInd w:val="0"/>
              <w:snapToGrid w:val="0"/>
              <w:spacing w:line="288" w:lineRule="auto"/>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信用记录</w:t>
            </w:r>
          </w:p>
        </w:tc>
        <w:tc>
          <w:tcPr>
            <w:tcW w:w="6779" w:type="dxa"/>
            <w:vAlign w:val="center"/>
          </w:tcPr>
          <w:p>
            <w:pPr>
              <w:adjustRightInd w:val="0"/>
              <w:snapToGrid w:val="0"/>
              <w:spacing w:line="288" w:lineRule="auto"/>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根据财库[2016]125号《关于在政府采购活动中查询及使用信用记录有关问题的通知》要求，采购代理机构会对投标人信用记录进行查询并甄别。信用</w:t>
            </w:r>
            <w:r>
              <w:rPr>
                <w:rFonts w:hint="eastAsia" w:ascii="宋体" w:hAnsi="宋体"/>
                <w:sz w:val="21"/>
                <w:szCs w:val="21"/>
              </w:rPr>
              <w:t>信息查询的截止时点：投标截止时间；</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）信用信息的使用规则：投标人被列入失信被执行人、重大税收违法案件当事人名单、政府采购严重违法失信行为记录名单的，拒绝其参与采购活动。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779" w:type="dxa"/>
            <w:vAlign w:val="center"/>
          </w:tcPr>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adjustRightInd w:val="0"/>
              <w:snapToGrid w:val="0"/>
              <w:spacing w:line="288" w:lineRule="auto"/>
              <w:rPr>
                <w:rFonts w:ascii="宋体" w:hAnsi="宋体"/>
                <w:sz w:val="21"/>
                <w:szCs w:val="21"/>
              </w:rPr>
            </w:pPr>
            <w:r>
              <w:rPr>
                <w:rFonts w:hint="eastAsia" w:ascii="宋体" w:hAnsi="宋体"/>
                <w:sz w:val="21"/>
                <w:szCs w:val="21"/>
              </w:rPr>
              <w:t>（1）有效的法人或者其他组织的营业执照等证明文件（复印件），自然人的身份证明；</w:t>
            </w:r>
          </w:p>
          <w:p>
            <w:pPr>
              <w:adjustRightInd w:val="0"/>
              <w:snapToGrid w:val="0"/>
              <w:spacing w:line="288" w:lineRule="auto"/>
              <w:rPr>
                <w:rFonts w:ascii="宋体" w:hAnsi="宋体"/>
                <w:sz w:val="21"/>
                <w:szCs w:val="21"/>
              </w:rPr>
            </w:pPr>
            <w:r>
              <w:rPr>
                <w:rFonts w:hint="eastAsia" w:ascii="宋体" w:hAnsi="宋体"/>
                <w:sz w:val="21"/>
                <w:szCs w:val="21"/>
              </w:rPr>
              <w:t>（2）2021年12月（含）以后任意一月的财务状况报告（复印件）或开标前三个月内出具的银行资信证明（若资信证明中注明复印无效，需提交正本）；</w:t>
            </w:r>
          </w:p>
          <w:p>
            <w:pPr>
              <w:adjustRightInd w:val="0"/>
              <w:snapToGrid w:val="0"/>
              <w:spacing w:line="288" w:lineRule="auto"/>
              <w:rPr>
                <w:rFonts w:ascii="宋体" w:hAnsi="宋体"/>
                <w:sz w:val="21"/>
                <w:szCs w:val="21"/>
              </w:rPr>
            </w:pPr>
            <w:r>
              <w:rPr>
                <w:rFonts w:hint="eastAsia" w:ascii="宋体" w:hAnsi="宋体"/>
                <w:sz w:val="21"/>
                <w:szCs w:val="21"/>
              </w:rPr>
              <w:t>（3）2021年12月（含）以后任意一月依法缴纳税收的证明材料（依法免税的投标人，应提供相应文件证明其依法免税）；</w:t>
            </w:r>
          </w:p>
          <w:p>
            <w:pPr>
              <w:adjustRightInd w:val="0"/>
              <w:snapToGrid w:val="0"/>
              <w:spacing w:line="288" w:lineRule="auto"/>
              <w:rPr>
                <w:rFonts w:ascii="宋体" w:hAnsi="宋体"/>
                <w:sz w:val="21"/>
                <w:szCs w:val="21"/>
              </w:rPr>
            </w:pPr>
            <w:r>
              <w:rPr>
                <w:rFonts w:hint="eastAsia" w:ascii="宋体" w:hAnsi="宋体"/>
                <w:sz w:val="21"/>
                <w:szCs w:val="21"/>
              </w:rPr>
              <w:t>（4）2021年12月（含）以后任意一月依法缴纳社会保障资金的证明材料（依法不需要缴纳社会保障资金的投标人，应提供相应文件证明其依法不需要缴纳社会保障资金）；</w:t>
            </w:r>
          </w:p>
          <w:p>
            <w:pPr>
              <w:adjustRightInd w:val="0"/>
              <w:snapToGrid w:val="0"/>
              <w:spacing w:line="288" w:lineRule="auto"/>
              <w:rPr>
                <w:rFonts w:ascii="宋体" w:hAnsi="宋体"/>
                <w:sz w:val="21"/>
                <w:szCs w:val="21"/>
              </w:rPr>
            </w:pPr>
            <w:r>
              <w:rPr>
                <w:rFonts w:hint="eastAsia" w:ascii="宋体" w:hAnsi="宋体"/>
                <w:sz w:val="21"/>
                <w:szCs w:val="21"/>
              </w:rPr>
              <w:t>（5）具有履行合同所必需的设备和专业技术能力的承诺函；</w:t>
            </w:r>
          </w:p>
          <w:p>
            <w:pPr>
              <w:adjustRightInd w:val="0"/>
              <w:snapToGrid w:val="0"/>
              <w:spacing w:line="288" w:lineRule="auto"/>
              <w:rPr>
                <w:rFonts w:ascii="宋体" w:hAnsi="宋体"/>
                <w:bCs/>
                <w:sz w:val="21"/>
                <w:szCs w:val="21"/>
              </w:rPr>
            </w:pPr>
            <w:r>
              <w:rPr>
                <w:rFonts w:hint="eastAsia" w:ascii="宋体" w:hAnsi="宋体"/>
                <w:sz w:val="21"/>
                <w:szCs w:val="21"/>
              </w:rPr>
              <w:t>（6）参加政府采购活动前3年内在经营活动中没有重大违法记录的书面声明。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投标文件装订、份数、包装</w:t>
            </w:r>
          </w:p>
        </w:tc>
        <w:tc>
          <w:tcPr>
            <w:tcW w:w="6779" w:type="dxa"/>
            <w:vAlign w:val="center"/>
          </w:tcPr>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hint="eastAsia" w:ascii="宋体" w:hAnsi="宋体"/>
                <w:b/>
                <w:bCs/>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jc w:val="left"/>
              <w:rPr>
                <w:rFonts w:ascii="宋体" w:hAnsi="宋体"/>
                <w:b/>
                <w:bCs/>
                <w:spacing w:val="-6"/>
                <w:sz w:val="21"/>
                <w:szCs w:val="21"/>
              </w:rPr>
            </w:pPr>
            <w:r>
              <w:rPr>
                <w:rFonts w:hint="eastAsia" w:ascii="宋体" w:hAnsi="宋体"/>
                <w:bCs/>
                <w:spacing w:val="-6"/>
                <w:sz w:val="21"/>
                <w:szCs w:val="21"/>
              </w:rPr>
              <w:t>▲</w:t>
            </w:r>
            <w:r>
              <w:rPr>
                <w:rFonts w:hint="eastAsia" w:ascii="宋体" w:hAnsi="宋体"/>
                <w:b/>
                <w:bCs/>
                <w:spacing w:val="-6"/>
                <w:sz w:val="21"/>
                <w:szCs w:val="21"/>
              </w:rPr>
              <w:t>活页装订（卡条、抽杆夹、订书机、散装）的投标文件无效。</w:t>
            </w:r>
          </w:p>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hint="eastAsia" w:ascii="宋体" w:hAnsi="宋体"/>
                <w:b/>
                <w:bCs/>
                <w:spacing w:val="-6"/>
                <w:sz w:val="21"/>
                <w:szCs w:val="21"/>
              </w:rPr>
              <w:t>.包装：报价文件单独密封包装，</w:t>
            </w:r>
            <w:r>
              <w:rPr>
                <w:rFonts w:ascii="宋体" w:hAnsi="宋体"/>
                <w:b/>
                <w:bCs/>
                <w:spacing w:val="-6"/>
                <w:sz w:val="21"/>
                <w:szCs w:val="21"/>
              </w:rPr>
              <w:t>资格文件、商务和技术文件</w:t>
            </w:r>
            <w:r>
              <w:rPr>
                <w:rFonts w:hint="eastAsia" w:ascii="宋体" w:hAnsi="宋体"/>
                <w:b/>
                <w:bCs/>
                <w:spacing w:val="-6"/>
                <w:sz w:val="21"/>
                <w:szCs w:val="21"/>
              </w:rPr>
              <w:t>合并密封包装，相同部分的正副本可密封在同一个密封袋内。</w:t>
            </w:r>
            <w:r>
              <w:rPr>
                <w:rFonts w:hint="eastAsia" w:ascii="宋体" w:hAnsi="宋体"/>
                <w:bCs/>
                <w:spacing w:val="-6"/>
                <w:sz w:val="21"/>
                <w:szCs w:val="21"/>
              </w:rPr>
              <w:t>投标人应在投标文件包装封面上注明投标人名称、投标人地址、投标文件名称（报价文件/资格文件、商务和技术文件）、投标项目名称、项目编号及“开标时启封”字样，并加盖投标人公章。</w:t>
            </w:r>
          </w:p>
          <w:p>
            <w:pPr>
              <w:adjustRightInd w:val="0"/>
              <w:snapToGrid w:val="0"/>
              <w:spacing w:line="288" w:lineRule="auto"/>
              <w:jc w:val="left"/>
              <w:rPr>
                <w:rFonts w:ascii="宋体" w:hAnsi="宋体"/>
                <w:bCs/>
                <w:spacing w:val="-6"/>
                <w:sz w:val="21"/>
                <w:szCs w:val="21"/>
              </w:rPr>
            </w:pPr>
            <w:r>
              <w:rPr>
                <w:rFonts w:hint="eastAsia" w:ascii="宋体" w:hAnsi="宋体"/>
                <w:b/>
                <w:bCs/>
                <w:spacing w:val="-6"/>
                <w:sz w:val="21"/>
                <w:szCs w:val="21"/>
              </w:rPr>
              <w:t>报价文件未按要求密封导致</w:t>
            </w:r>
            <w:r>
              <w:rPr>
                <w:rFonts w:ascii="宋体" w:hAnsi="宋体"/>
                <w:b/>
                <w:bCs/>
                <w:spacing w:val="-6"/>
                <w:sz w:val="21"/>
                <w:szCs w:val="21"/>
              </w:rPr>
              <w:t>开标时发生报价泄露</w:t>
            </w:r>
            <w:r>
              <w:rPr>
                <w:rFonts w:hint="eastAsia" w:ascii="宋体" w:hAnsi="宋体"/>
                <w:b/>
                <w:bCs/>
                <w:spacing w:val="-6"/>
                <w:sz w:val="21"/>
                <w:szCs w:val="21"/>
              </w:rPr>
              <w:t>，投标人</w:t>
            </w:r>
            <w:r>
              <w:rPr>
                <w:rFonts w:ascii="宋体" w:hAnsi="宋体"/>
                <w:b/>
                <w:bCs/>
                <w:spacing w:val="-6"/>
                <w:sz w:val="21"/>
                <w:szCs w:val="21"/>
              </w:rPr>
              <w:t>自行承担相关责任</w:t>
            </w:r>
            <w:r>
              <w:rPr>
                <w:rFonts w:hint="eastAsia" w:ascii="宋体" w:hAnsi="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投标报价</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b/>
                <w:bCs/>
                <w:sz w:val="21"/>
                <w:szCs w:val="21"/>
              </w:rPr>
            </w:pPr>
            <w:r>
              <w:rPr>
                <w:rFonts w:hint="eastAsia" w:ascii="宋体" w:hAnsi="宋体"/>
                <w:b/>
                <w:bCs/>
                <w:sz w:val="21"/>
                <w:szCs w:val="21"/>
              </w:rPr>
              <w:t>2.不管是否为进口产品，投标人均应以人民币报价，人民币报价直接作为价格分计算依据。中标人如与境外投标人约定外币计价的，汇率风险由中标人自行承担。如需采购人办理进口（减免税）手续，由采购人指定外贸代理机构办理，代理费包含在中标人人民币报价中；</w:t>
            </w:r>
          </w:p>
          <w:p>
            <w:pPr>
              <w:adjustRightInd w:val="0"/>
              <w:snapToGrid w:val="0"/>
              <w:spacing w:line="288" w:lineRule="auto"/>
              <w:rPr>
                <w:rFonts w:ascii="宋体" w:hAnsi="宋体"/>
                <w:sz w:val="21"/>
                <w:szCs w:val="21"/>
              </w:rPr>
            </w:pPr>
            <w:r>
              <w:rPr>
                <w:rFonts w:hint="eastAsia" w:ascii="宋体" w:hAnsi="宋体"/>
                <w:sz w:val="21"/>
                <w:szCs w:val="21"/>
              </w:rPr>
              <w:t>3.投标报价是履行合同的最终价格，有关本项目实施所涉及的一切费用均计入报价；</w:t>
            </w:r>
          </w:p>
          <w:p>
            <w:pPr>
              <w:adjustRightInd w:val="0"/>
              <w:snapToGrid w:val="0"/>
              <w:spacing w:line="288" w:lineRule="auto"/>
              <w:rPr>
                <w:rFonts w:ascii="宋体" w:hAnsi="宋体"/>
                <w:sz w:val="21"/>
                <w:szCs w:val="21"/>
              </w:rPr>
            </w:pPr>
            <w:r>
              <w:rPr>
                <w:rFonts w:hint="eastAsia" w:ascii="宋体" w:hAnsi="宋体"/>
                <w:sz w:val="21"/>
                <w:szCs w:val="21"/>
              </w:rPr>
              <w:t>4.投标文件只允许有一个报价，有选择的报价将不予接受。</w:t>
            </w:r>
          </w:p>
          <w:p>
            <w:pPr>
              <w:adjustRightInd w:val="0"/>
              <w:snapToGrid w:val="0"/>
              <w:spacing w:line="288" w:lineRule="auto"/>
              <w:rPr>
                <w:rFonts w:ascii="宋体" w:hAnsi="宋体"/>
                <w:sz w:val="21"/>
                <w:szCs w:val="21"/>
              </w:rPr>
            </w:pPr>
            <w:r>
              <w:rPr>
                <w:rFonts w:hint="eastAsia" w:ascii="宋体" w:hAnsi="宋体" w:cs="宋体"/>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投标有效期</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评标方法及评分标准</w:t>
            </w:r>
          </w:p>
        </w:tc>
        <w:tc>
          <w:tcPr>
            <w:tcW w:w="6779"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评标方法及评分标准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评标结果公示</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评标结果公示媒体：中国政府采购网（http://www.ccgp.gov.cn）、浙江大学采购网（http://www.zupc.zju.edu.cn/cms/e?page=cms.index）。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585"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779" w:type="dxa"/>
            <w:vAlign w:val="center"/>
          </w:tcPr>
          <w:p>
            <w:pPr>
              <w:adjustRightInd w:val="0"/>
              <w:snapToGrid w:val="0"/>
              <w:spacing w:line="288" w:lineRule="auto"/>
              <w:rPr>
                <w:rFonts w:ascii="宋体" w:hAnsi="宋体"/>
                <w:sz w:val="21"/>
                <w:szCs w:val="21"/>
              </w:rPr>
            </w:pPr>
            <w:r>
              <w:rPr>
                <w:rFonts w:hint="eastAsia" w:ascii="宋体" w:hAnsi="宋体"/>
                <w:sz w:val="21"/>
                <w:szCs w:val="21"/>
              </w:rPr>
              <w:t>中标通知书发出之日起30日内。</w:t>
            </w:r>
          </w:p>
        </w:tc>
      </w:tr>
    </w:tbl>
    <w:p>
      <w:pPr>
        <w:pStyle w:val="13"/>
        <w:adjustRightInd w:val="0"/>
        <w:snapToGrid w:val="0"/>
        <w:spacing w:beforeLines="0" w:afterLines="0" w:line="288" w:lineRule="auto"/>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w:t>
      </w:r>
      <w:r>
        <w:rPr>
          <w:rFonts w:hint="eastAsia" w:hAnsi="宋体"/>
          <w:b/>
          <w:spacing w:val="-6"/>
          <w:sz w:val="21"/>
          <w:szCs w:val="21"/>
        </w:rPr>
        <w:t xml:space="preserve">  </w:t>
      </w:r>
      <w:r>
        <w:rPr>
          <w:rFonts w:hAnsi="宋体"/>
          <w:b/>
          <w:spacing w:val="-6"/>
          <w:sz w:val="21"/>
          <w:szCs w:val="21"/>
        </w:rPr>
        <w:t>则</w:t>
      </w:r>
    </w:p>
    <w:p>
      <w:pPr>
        <w:adjustRightInd w:val="0"/>
        <w:snapToGrid w:val="0"/>
        <w:spacing w:line="288" w:lineRule="auto"/>
        <w:ind w:firstLine="396" w:firstLineChars="200"/>
        <w:jc w:val="left"/>
        <w:rPr>
          <w:rFonts w:ascii="宋体" w:hAnsi="宋体"/>
          <w:spacing w:val="-6"/>
          <w:sz w:val="21"/>
          <w:szCs w:val="21"/>
        </w:rPr>
      </w:pPr>
      <w:bookmarkStart w:id="35" w:name="_Hlk94018326"/>
      <w:r>
        <w:rPr>
          <w:rFonts w:ascii="宋体" w:hAnsi="宋体"/>
          <w:spacing w:val="-6"/>
          <w:sz w:val="21"/>
          <w:szCs w:val="21"/>
        </w:rPr>
        <w:t>投标人应仔细阅读招标文件的所有内容，按照招标文件的要求提交投标文件，并对所提供的全部资料的真实性承担法律责任。</w:t>
      </w:r>
      <w:bookmarkEnd w:id="35"/>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本招标文件适用于浙江大学等保配套安全设备扩容建设的招标、评标、定标、验收、合同履约、付款等（法律、法规另有规定的，从其规定）。</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”系指浙江大学；</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（四）投标费用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100-500</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0.77</w:t>
            </w:r>
          </w:p>
        </w:tc>
      </w:tr>
    </w:tbl>
    <w:p>
      <w:pPr>
        <w:adjustRightInd w:val="0"/>
        <w:snapToGrid w:val="0"/>
        <w:spacing w:line="288" w:lineRule="auto"/>
        <w:ind w:firstLine="399" w:firstLineChars="202"/>
        <w:jc w:val="left"/>
        <w:rPr>
          <w:rFonts w:ascii="宋体" w:hAnsi="宋体"/>
          <w:spacing w:val="-6"/>
          <w:sz w:val="21"/>
          <w:szCs w:val="21"/>
        </w:rPr>
      </w:pPr>
      <w:r>
        <w:rPr>
          <w:rFonts w:hint="eastAsia" w:ascii="宋体" w:hAnsi="宋体"/>
          <w:spacing w:val="-6"/>
          <w:sz w:val="21"/>
          <w:szCs w:val="21"/>
        </w:rPr>
        <w:t>5.投标保证金（元）：无。</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（五）投标委托</w:t>
      </w:r>
    </w:p>
    <w:p>
      <w:pPr>
        <w:adjustRightInd w:val="0"/>
        <w:snapToGrid w:val="0"/>
        <w:spacing w:line="288" w:lineRule="auto"/>
        <w:ind w:firstLine="424" w:firstLineChars="202"/>
        <w:rPr>
          <w:rFonts w:ascii="宋体" w:hAnsi="宋体"/>
          <w:sz w:val="21"/>
          <w:szCs w:val="21"/>
        </w:rPr>
      </w:pPr>
      <w:r>
        <w:rPr>
          <w:rFonts w:ascii="宋体" w:hAnsi="宋体"/>
          <w:sz w:val="21"/>
          <w:szCs w:val="21"/>
        </w:rPr>
        <w:t>1</w:t>
      </w:r>
      <w:r>
        <w:rPr>
          <w:rFonts w:hint="eastAsia" w:ascii="宋体" w:hAnsi="宋体"/>
          <w:sz w:val="21"/>
          <w:szCs w:val="21"/>
        </w:rPr>
        <w:t>.▲投标人授权代表必须为投标人本单位在职职工，并提供2021年12月（含）以后任意一月社保缴纳证明（授权代表为法定代表人可不提供）。</w:t>
      </w:r>
    </w:p>
    <w:p>
      <w:pPr>
        <w:adjustRightInd w:val="0"/>
        <w:snapToGrid w:val="0"/>
        <w:spacing w:line="288" w:lineRule="auto"/>
        <w:ind w:firstLine="424" w:firstLineChars="202"/>
        <w:jc w:val="left"/>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w:t>
      </w:r>
      <w:r>
        <w:rPr>
          <w:rFonts w:hint="eastAsia" w:ascii="宋体" w:hAnsi="宋体"/>
          <w:sz w:val="21"/>
          <w:szCs w:val="21"/>
        </w:rPr>
        <w:t>提供</w:t>
      </w:r>
      <w:r>
        <w:rPr>
          <w:rFonts w:ascii="宋体" w:hAnsi="宋体"/>
          <w:bCs/>
          <w:sz w:val="21"/>
          <w:szCs w:val="21"/>
        </w:rPr>
        <w:t>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（六）联合体投标</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本项目不接受联合体投标。</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1.本项目不允许转包；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（八）质疑和投诉</w:t>
      </w:r>
    </w:p>
    <w:p>
      <w:pPr>
        <w:adjustRightInd w:val="0"/>
        <w:snapToGrid w:val="0"/>
        <w:spacing w:line="288" w:lineRule="auto"/>
        <w:ind w:firstLine="396" w:firstLineChars="200"/>
        <w:jc w:val="left"/>
        <w:rPr>
          <w:rFonts w:ascii="宋体" w:hAnsi="宋体"/>
          <w:spacing w:val="-6"/>
          <w:sz w:val="21"/>
          <w:szCs w:val="21"/>
        </w:rPr>
      </w:pPr>
      <w:bookmarkStart w:id="36" w:name="_Hlk92273406"/>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供应商认为采购文件、采购过程、中标或者成交结果使自己的权益受到损害的，可以在知道或者应知其权益受到损害之日起</w:t>
      </w:r>
      <w:r>
        <w:rPr>
          <w:rFonts w:ascii="宋体" w:hAnsi="宋体"/>
          <w:spacing w:val="-6"/>
          <w:sz w:val="21"/>
          <w:szCs w:val="21"/>
        </w:rPr>
        <w:t>7个工作日内，以书面形式向采购人、采购代理机构提出质疑。</w:t>
      </w:r>
      <w:r>
        <w:rPr>
          <w:rFonts w:hint="eastAsia" w:ascii="宋体" w:hAnsi="宋体"/>
          <w:spacing w:val="-6"/>
          <w:sz w:val="21"/>
          <w:szCs w:val="21"/>
        </w:rPr>
        <w:t>质疑供应商对采购人、采购代理机构的答复不满意，或者采购人、采购代理机构未在规定时间内作出答复的，可以在答复期满后</w:t>
      </w:r>
      <w:r>
        <w:rPr>
          <w:rFonts w:ascii="宋体" w:hAnsi="宋体"/>
          <w:spacing w:val="-6"/>
          <w:sz w:val="21"/>
          <w:szCs w:val="21"/>
        </w:rPr>
        <w:t>15个工作日内向</w:t>
      </w:r>
      <w:r>
        <w:rPr>
          <w:rFonts w:hint="eastAsia" w:ascii="宋体" w:hAnsi="宋体"/>
          <w:spacing w:val="-6"/>
          <w:sz w:val="21"/>
          <w:szCs w:val="21"/>
        </w:rPr>
        <w:t>本级财政部门</w:t>
      </w:r>
      <w:r>
        <w:rPr>
          <w:rFonts w:ascii="宋体" w:hAnsi="宋体"/>
          <w:spacing w:val="-6"/>
          <w:sz w:val="21"/>
          <w:szCs w:val="21"/>
        </w:rPr>
        <w:t>提起投诉。</w:t>
      </w:r>
      <w:bookmarkEnd w:id="36"/>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（1）供应商的姓名或者名称、地址、邮编、联系人及联系电话；</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（2）质疑项目的名称、编号；</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（3）具体、明确的质疑事项和与质疑事项相关的请求；</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（4）事实依据；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（5）必要的法律依据；</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（6）提出质疑的日期。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3.提出质疑的供应商应当是参与本项目招标活动的投标人。</w:t>
      </w:r>
      <w:r>
        <w:rPr>
          <w:rFonts w:hint="eastAsia" w:ascii="宋体" w:hAnsi="宋体"/>
          <w:b/>
          <w:spacing w:val="-6"/>
          <w:sz w:val="21"/>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4.根据《政府采购质疑和投诉办法》第三十七条的规定，投诉人在全国范围</w:t>
      </w:r>
      <w:r>
        <w:rPr>
          <w:rFonts w:ascii="宋体" w:hAnsi="宋体"/>
          <w:spacing w:val="-6"/>
          <w:sz w:val="21"/>
          <w:szCs w:val="21"/>
        </w:rPr>
        <w:t>12</w:t>
      </w:r>
      <w:r>
        <w:rPr>
          <w:rFonts w:hint="eastAsia" w:ascii="宋体" w:hAnsi="宋体"/>
          <w:spacing w:val="-6"/>
          <w:sz w:val="21"/>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投诉人有下列行为之一的，属于虚假、恶意投诉，由财政部门列入不良行为记录名单，禁止其</w:t>
      </w:r>
      <w:r>
        <w:rPr>
          <w:rFonts w:ascii="宋体" w:hAnsi="宋体"/>
          <w:spacing w:val="-6"/>
          <w:sz w:val="21"/>
          <w:szCs w:val="21"/>
        </w:rPr>
        <w:t>1</w:t>
      </w:r>
      <w:r>
        <w:rPr>
          <w:rFonts w:hint="eastAsia" w:ascii="宋体" w:hAnsi="宋体"/>
          <w:spacing w:val="-6"/>
          <w:sz w:val="21"/>
          <w:szCs w:val="21"/>
        </w:rPr>
        <w:t>至</w:t>
      </w:r>
      <w:r>
        <w:rPr>
          <w:rFonts w:ascii="宋体" w:hAnsi="宋体"/>
          <w:spacing w:val="-6"/>
          <w:sz w:val="21"/>
          <w:szCs w:val="21"/>
        </w:rPr>
        <w:t>3</w:t>
      </w:r>
      <w:r>
        <w:rPr>
          <w:rFonts w:hint="eastAsia" w:ascii="宋体" w:hAnsi="宋体"/>
          <w:spacing w:val="-6"/>
          <w:sz w:val="21"/>
          <w:szCs w:val="21"/>
        </w:rPr>
        <w:t>年内参加政府采购活动：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（1）捏造事实；</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（2）提供虚假材料；</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cs="宋体"/>
          <w:b/>
          <w:spacing w:val="-6"/>
          <w:kern w:val="0"/>
          <w:sz w:val="21"/>
          <w:szCs w:val="21"/>
        </w:rPr>
      </w:pPr>
      <w:bookmarkStart w:id="37" w:name="_Hlk92273111"/>
      <w:bookmarkStart w:id="38" w:name="_Hlk94018492"/>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w:t>
      </w:r>
      <w:r>
        <w:rPr>
          <w:rFonts w:hint="eastAsia" w:ascii="宋体" w:hAnsi="宋体" w:cs="宋体"/>
          <w:b/>
          <w:spacing w:val="-6"/>
          <w:kern w:val="0"/>
          <w:sz w:val="21"/>
          <w:szCs w:val="21"/>
        </w:rPr>
        <w:t>采购项目需要落实的政府采购政策</w:t>
      </w:r>
    </w:p>
    <w:p>
      <w:pPr>
        <w:adjustRightInd w:val="0"/>
        <w:snapToGrid w:val="0"/>
        <w:spacing w:line="288" w:lineRule="auto"/>
        <w:ind w:firstLine="396" w:firstLineChars="200"/>
        <w:jc w:val="left"/>
        <w:rPr>
          <w:rFonts w:ascii="宋体" w:hAnsi="宋体"/>
          <w:spacing w:val="-6"/>
          <w:sz w:val="21"/>
          <w:szCs w:val="21"/>
          <w:highlight w:val="yellow"/>
        </w:rPr>
      </w:pPr>
      <w:r>
        <w:rPr>
          <w:rFonts w:hint="eastAsia" w:ascii="宋体" w:hAnsi="宋体"/>
          <w:spacing w:val="-6"/>
          <w:sz w:val="21"/>
          <w:szCs w:val="21"/>
        </w:rPr>
        <w:t>1</w:t>
      </w:r>
      <w:r>
        <w:rPr>
          <w:rFonts w:ascii="宋体" w:hAnsi="宋体"/>
          <w:b/>
          <w:bCs/>
          <w:spacing w:val="-6"/>
          <w:sz w:val="21"/>
          <w:szCs w:val="21"/>
        </w:rPr>
        <w:t>.</w:t>
      </w:r>
      <w:r>
        <w:rPr>
          <w:rFonts w:ascii="宋体" w:hAnsi="宋体"/>
          <w:spacing w:val="-6"/>
          <w:sz w:val="21"/>
          <w:szCs w:val="21"/>
        </w:rPr>
        <w:t>本项目不允许采购进口产品。。</w:t>
      </w:r>
    </w:p>
    <w:p>
      <w:pPr>
        <w:adjustRightInd w:val="0"/>
        <w:snapToGrid w:val="0"/>
        <w:spacing w:line="288" w:lineRule="auto"/>
        <w:ind w:firstLine="398" w:firstLineChars="200"/>
        <w:jc w:val="left"/>
        <w:rPr>
          <w:rFonts w:ascii="宋体" w:hAnsi="宋体"/>
          <w:b/>
          <w:bCs/>
          <w:spacing w:val="-6"/>
          <w:sz w:val="21"/>
          <w:szCs w:val="21"/>
        </w:rPr>
      </w:pPr>
      <w:r>
        <w:rPr>
          <w:rFonts w:ascii="宋体" w:hAnsi="宋体"/>
          <w:b/>
          <w:bCs/>
          <w:spacing w:val="-6"/>
          <w:sz w:val="21"/>
          <w:szCs w:val="21"/>
        </w:rPr>
        <w:t>2.支持绿色发展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b/>
          <w:bCs/>
          <w:spacing w:val="-6"/>
          <w:sz w:val="21"/>
          <w:szCs w:val="21"/>
        </w:rPr>
      </w:pPr>
      <w:r>
        <w:rPr>
          <w:rFonts w:ascii="宋体" w:hAnsi="宋体"/>
          <w:b/>
          <w:bCs/>
          <w:spacing w:val="-6"/>
          <w:sz w:val="21"/>
          <w:szCs w:val="21"/>
        </w:rPr>
        <w:t>3.支持科技创新</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39" w:name="_Hlk106875293"/>
      <w:bookmarkEnd w:id="39"/>
    </w:p>
    <w:p>
      <w:pPr>
        <w:adjustRightInd w:val="0"/>
        <w:snapToGrid w:val="0"/>
        <w:spacing w:line="288" w:lineRule="auto"/>
        <w:ind w:firstLine="398" w:firstLineChars="200"/>
        <w:jc w:val="left"/>
        <w:rPr>
          <w:rFonts w:ascii="宋体" w:hAnsi="宋体"/>
          <w:b/>
          <w:bCs/>
          <w:spacing w:val="-6"/>
          <w:sz w:val="21"/>
          <w:szCs w:val="21"/>
        </w:rPr>
      </w:pPr>
      <w:r>
        <w:rPr>
          <w:rFonts w:ascii="宋体" w:hAnsi="宋体"/>
          <w:b/>
          <w:bCs/>
          <w:spacing w:val="-6"/>
          <w:sz w:val="21"/>
          <w:szCs w:val="21"/>
        </w:rPr>
        <w:t>4.支持中小企业发展</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对于未预留份额专门面向中小企业的政府采购货物或服务项目，以及预留份额政府采购货物或服务项目中的非预留部分标项，对小型和微型企业的投标报价给予</w:t>
      </w:r>
      <w:r>
        <w:rPr>
          <w:rFonts w:hint="eastAsia" w:ascii="宋体" w:hAnsi="宋体"/>
          <w:spacing w:val="-6"/>
          <w:sz w:val="21"/>
          <w:szCs w:val="21"/>
        </w:rPr>
        <w:t>1</w:t>
      </w:r>
      <w:r>
        <w:rPr>
          <w:rFonts w:ascii="宋体" w:hAnsi="宋体"/>
          <w:spacing w:val="-6"/>
          <w:sz w:val="21"/>
          <w:szCs w:val="21"/>
        </w:rPr>
        <w:t>0%的扣除，用扣除后的价格参与评审。</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spacing w:val="-6"/>
          <w:sz w:val="21"/>
          <w:szCs w:val="21"/>
          <w:u w:val="single"/>
        </w:rPr>
      </w:pPr>
      <w:r>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中小企业享受扶持政策获得政府采购合同的，小微企业不得将合同分包给大中型企业，中型企业不得将合同分包给大型企业。</w:t>
      </w:r>
      <w:bookmarkEnd w:id="37"/>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除财库</w:t>
      </w:r>
      <w:r>
        <w:rPr>
          <w:rFonts w:ascii="宋体" w:hAnsi="宋体"/>
          <w:spacing w:val="-6"/>
          <w:sz w:val="21"/>
          <w:szCs w:val="21"/>
        </w:rPr>
        <w:t>《政府采购促进中小企业发展管理办法》</w:t>
      </w:r>
      <w:r>
        <w:rPr>
          <w:rFonts w:hint="eastAsia" w:ascii="宋体" w:hAnsi="宋体"/>
          <w:spacing w:val="-6"/>
          <w:sz w:val="21"/>
          <w:szCs w:val="21"/>
        </w:rPr>
        <w:t>（财库〔</w:t>
      </w:r>
      <w:r>
        <w:rPr>
          <w:rFonts w:ascii="宋体" w:hAnsi="宋体"/>
          <w:spacing w:val="-6"/>
          <w:sz w:val="21"/>
          <w:szCs w:val="21"/>
        </w:rPr>
        <w:t>2020〕46号</w:t>
      </w:r>
      <w:r>
        <w:rPr>
          <w:rFonts w:hint="eastAsia" w:ascii="宋体" w:hAnsi="宋体"/>
          <w:spacing w:val="-6"/>
          <w:sz w:val="21"/>
          <w:szCs w:val="21"/>
        </w:rPr>
        <w:t>）、</w:t>
      </w:r>
      <w:r>
        <w:rPr>
          <w:rFonts w:ascii="宋体" w:hAnsi="宋体"/>
          <w:spacing w:val="-6"/>
          <w:sz w:val="21"/>
          <w:szCs w:val="21"/>
        </w:rPr>
        <w:t>《关于促进残疾人就业政府采购政策的通知》（财库〔2017〕141号）</w:t>
      </w:r>
      <w:r>
        <w:rPr>
          <w:rFonts w:hint="eastAsia" w:ascii="宋体" w:hAnsi="宋体"/>
          <w:spacing w:val="-6"/>
          <w:sz w:val="21"/>
          <w:szCs w:val="21"/>
        </w:rPr>
        <w:t>、</w:t>
      </w:r>
      <w:r>
        <w:rPr>
          <w:rFonts w:ascii="宋体" w:hAnsi="宋体"/>
          <w:spacing w:val="-6"/>
          <w:sz w:val="21"/>
          <w:szCs w:val="21"/>
        </w:rPr>
        <w:t>《关于政府采购支持监狱企业发展有关问题的通知》（财库[2014]68号）规定企业类型以外的供应商不享受中小企业扶持政策</w:t>
      </w:r>
      <w:r>
        <w:rPr>
          <w:rFonts w:hint="eastAsia" w:ascii="宋体" w:hAnsi="宋体"/>
          <w:spacing w:val="-6"/>
          <w:sz w:val="21"/>
          <w:szCs w:val="21"/>
        </w:rPr>
        <w:t>。</w:t>
      </w:r>
      <w:bookmarkEnd w:id="38"/>
    </w:p>
    <w:p>
      <w:pPr>
        <w:pStyle w:val="11"/>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、招标文件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（一）招标文件的构成。本招标文件由以下部分组成：</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4.评标方法及评分标准</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（二）投标人的风险</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（三）招标文件的澄清与修改</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1"/>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（一）投标文件的组成</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报价文件、资格文件、商务和技术文件</w:t>
      </w:r>
      <w:r>
        <w:rPr>
          <w:rFonts w:hint="eastAsia" w:hAnsi="宋体"/>
          <w:spacing w:val="-6"/>
          <w:sz w:val="21"/>
          <w:szCs w:val="21"/>
        </w:rPr>
        <w:t>组成（格式详见招标文件第六章）。</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投标文件组成：详见“第六章</w:t>
      </w:r>
      <w:r>
        <w:rPr>
          <w:rFonts w:ascii="宋体" w:hAnsi="宋体"/>
          <w:spacing w:val="-6"/>
          <w:sz w:val="21"/>
          <w:szCs w:val="21"/>
        </w:rPr>
        <w:t xml:space="preserve">  投标文件格式</w:t>
      </w:r>
      <w:r>
        <w:rPr>
          <w:rFonts w:hint="eastAsia" w:ascii="宋体" w:hAnsi="宋体"/>
          <w:spacing w:val="-6"/>
          <w:sz w:val="21"/>
          <w:szCs w:val="21"/>
        </w:rPr>
        <w:t>”目录</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如供应商提供的产品技术支持材料与采购需求偏离表响应不一致，以产品技术支持材料为准。</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（二）投标文件的编制、份数、包装、递交、修改和撤回</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adjustRightInd w:val="0"/>
        <w:snapToGrid w:val="0"/>
        <w:spacing w:line="288" w:lineRule="auto"/>
        <w:ind w:firstLine="398" w:firstLineChars="200"/>
        <w:jc w:val="left"/>
        <w:rPr>
          <w:rFonts w:ascii="宋体" w:hAnsi="宋体"/>
          <w:spacing w:val="-6"/>
          <w:sz w:val="21"/>
          <w:szCs w:val="21"/>
        </w:rPr>
      </w:pPr>
      <w:r>
        <w:rPr>
          <w:rFonts w:ascii="宋体" w:hAnsi="宋体"/>
          <w:b/>
          <w:bCs/>
          <w:spacing w:val="-6"/>
          <w:sz w:val="21"/>
          <w:szCs w:val="21"/>
        </w:rPr>
        <w:t>2</w:t>
      </w:r>
      <w:r>
        <w:rPr>
          <w:rFonts w:hint="eastAsia" w:ascii="宋体" w:hAnsi="宋体"/>
          <w:b/>
          <w:bCs/>
          <w:spacing w:val="-6"/>
          <w:sz w:val="21"/>
          <w:szCs w:val="21"/>
        </w:rPr>
        <w:t>.</w:t>
      </w:r>
      <w:r>
        <w:rPr>
          <w:rFonts w:hint="eastAsia" w:ascii="宋体" w:hAnsi="宋体"/>
          <w:b/>
          <w:spacing w:val="-6"/>
          <w:sz w:val="21"/>
          <w:szCs w:val="21"/>
        </w:rPr>
        <w:t>装订与份数：报价文件单独装订成册，资格文件、商务和技术文件合并装订成册，其中正本一份、副本五份，投标文件的封面应注明“正本“、“副本”字样。正本与副本不一致的，以正本为准。</w:t>
      </w:r>
    </w:p>
    <w:p>
      <w:pPr>
        <w:adjustRightInd w:val="0"/>
        <w:snapToGrid w:val="0"/>
        <w:spacing w:line="288" w:lineRule="auto"/>
        <w:ind w:firstLine="396" w:firstLineChars="200"/>
        <w:jc w:val="left"/>
        <w:rPr>
          <w:rFonts w:ascii="宋体" w:hAnsi="宋体"/>
          <w:b/>
          <w:snapToGrid w:val="0"/>
          <w:kern w:val="0"/>
          <w:sz w:val="21"/>
          <w:szCs w:val="21"/>
        </w:rPr>
      </w:pPr>
      <w:r>
        <w:rPr>
          <w:rFonts w:hint="eastAsia" w:ascii="宋体" w:hAnsi="宋体"/>
          <w:spacing w:val="-6"/>
          <w:sz w:val="21"/>
          <w:szCs w:val="21"/>
        </w:rPr>
        <w:t>▲</w:t>
      </w:r>
      <w:r>
        <w:rPr>
          <w:rFonts w:hint="eastAsia" w:ascii="宋体" w:hAnsi="宋体"/>
          <w:b/>
          <w:spacing w:val="-6"/>
          <w:sz w:val="21"/>
          <w:szCs w:val="21"/>
        </w:rPr>
        <w:t>活页装订（卡条、抽杆夹、订书机、散装）的投标文件无效。</w:t>
      </w:r>
    </w:p>
    <w:p>
      <w:pPr>
        <w:adjustRightInd w:val="0"/>
        <w:snapToGrid w:val="0"/>
        <w:spacing w:line="288" w:lineRule="auto"/>
        <w:ind w:firstLine="398" w:firstLineChars="200"/>
        <w:rPr>
          <w:rFonts w:ascii="宋体" w:hAnsi="宋体"/>
          <w:spacing w:val="-6"/>
          <w:sz w:val="21"/>
          <w:szCs w:val="21"/>
        </w:rPr>
      </w:pPr>
      <w:r>
        <w:rPr>
          <w:rFonts w:ascii="宋体" w:hAnsi="宋体"/>
          <w:b/>
          <w:bCs/>
          <w:spacing w:val="-6"/>
          <w:sz w:val="21"/>
          <w:szCs w:val="21"/>
        </w:rPr>
        <w:t>3</w:t>
      </w:r>
      <w:r>
        <w:rPr>
          <w:rFonts w:hint="eastAsia" w:ascii="宋体" w:hAnsi="宋体"/>
          <w:b/>
          <w:bCs/>
          <w:spacing w:val="-6"/>
          <w:sz w:val="21"/>
          <w:szCs w:val="21"/>
        </w:rPr>
        <w:t>.</w:t>
      </w:r>
      <w:r>
        <w:rPr>
          <w:rFonts w:hint="eastAsia" w:ascii="宋体" w:hAnsi="宋体"/>
          <w:b/>
          <w:spacing w:val="-6"/>
          <w:sz w:val="21"/>
          <w:szCs w:val="21"/>
        </w:rPr>
        <w:t>包装：报价文件单独密封包装，</w:t>
      </w:r>
      <w:r>
        <w:rPr>
          <w:rFonts w:ascii="宋体" w:hAnsi="宋体"/>
          <w:b/>
          <w:spacing w:val="-6"/>
          <w:sz w:val="21"/>
          <w:szCs w:val="21"/>
        </w:rPr>
        <w:t>资格文件、商务和技术文件</w:t>
      </w:r>
      <w:r>
        <w:rPr>
          <w:rFonts w:hint="eastAsia" w:ascii="宋体" w:hAnsi="宋体"/>
          <w:b/>
          <w:spacing w:val="-6"/>
          <w:sz w:val="21"/>
          <w:szCs w:val="21"/>
        </w:rPr>
        <w:t>合并密封包装，相同部分的正副本可密封在同一个密封袋内。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投标人应在投标文件包装封面上注明投标人名称、投标人地址、投标文件名称（报价文件、资格文件、商务和技术文件）、投标项目名称、项目编号及“开标时启封”字样，并加盖投标人公章。</w:t>
      </w:r>
    </w:p>
    <w:p>
      <w:pPr>
        <w:adjustRightInd w:val="0"/>
        <w:snapToGrid w:val="0"/>
        <w:spacing w:line="288" w:lineRule="auto"/>
        <w:ind w:firstLine="398" w:firstLineChars="200"/>
        <w:rPr>
          <w:rFonts w:ascii="宋体" w:hAnsi="宋体"/>
          <w:spacing w:val="-6"/>
          <w:sz w:val="21"/>
          <w:szCs w:val="21"/>
        </w:rPr>
      </w:pPr>
      <w:r>
        <w:rPr>
          <w:rFonts w:hint="eastAsia" w:ascii="宋体" w:hAnsi="宋体"/>
          <w:b/>
          <w:spacing w:val="-6"/>
          <w:sz w:val="21"/>
          <w:szCs w:val="21"/>
        </w:rPr>
        <w:t>报价文件未按要求密封导致</w:t>
      </w:r>
      <w:r>
        <w:rPr>
          <w:rFonts w:ascii="宋体" w:hAnsi="宋体"/>
          <w:b/>
          <w:spacing w:val="-6"/>
          <w:sz w:val="21"/>
          <w:szCs w:val="21"/>
        </w:rPr>
        <w:t>开标时发生报价泄露</w:t>
      </w:r>
      <w:r>
        <w:rPr>
          <w:rFonts w:hint="eastAsia" w:ascii="宋体" w:hAnsi="宋体"/>
          <w:b/>
          <w:spacing w:val="-6"/>
          <w:sz w:val="21"/>
          <w:szCs w:val="21"/>
        </w:rPr>
        <w:t>，投标人</w:t>
      </w:r>
      <w:r>
        <w:rPr>
          <w:rFonts w:ascii="宋体" w:hAnsi="宋体"/>
          <w:b/>
          <w:spacing w:val="-6"/>
          <w:sz w:val="21"/>
          <w:szCs w:val="21"/>
        </w:rPr>
        <w:t>自行承担相关责任</w:t>
      </w:r>
      <w:r>
        <w:rPr>
          <w:rFonts w:hint="eastAsia" w:ascii="宋体" w:hAnsi="宋体"/>
          <w:b/>
          <w:spacing w:val="-6"/>
          <w:sz w:val="21"/>
          <w:szCs w:val="21"/>
        </w:rPr>
        <w:t>。</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（三）投标文件的签署</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.投标文件的正本需打印或用不褪色的墨水填写，投标文件正本除本《投标人须知》中规定的可提供复印件外均须提供原件。副本可以是正本的复印件。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.投标文件不得涂改，若有修改错漏处，须由投标人</w:t>
      </w:r>
      <w:r>
        <w:rPr>
          <w:rFonts w:ascii="宋体" w:hAnsi="宋体"/>
          <w:spacing w:val="-6"/>
          <w:sz w:val="21"/>
          <w:szCs w:val="21"/>
        </w:rPr>
        <w:t>代表</w:t>
      </w:r>
      <w:r>
        <w:rPr>
          <w:rFonts w:hint="eastAsia" w:ascii="宋体" w:hAnsi="宋体"/>
          <w:spacing w:val="-6"/>
          <w:sz w:val="21"/>
          <w:szCs w:val="21"/>
        </w:rPr>
        <w:t>签名并加盖公章。投标文件因字迹潦草或表达不清所引起的后果由投标人负责。</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（四）投标文件的语言及计量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1.报价应按招标文件要求的格式编制、填写报价内容（可自行增行），未按招标文件要求编制、填写的投标文件可能被拒绝；</w:t>
      </w:r>
    </w:p>
    <w:p>
      <w:pPr>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2.报价说明：</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rPr>
        <w:t>2.1</w:t>
      </w:r>
      <w:r>
        <w:rPr>
          <w:rFonts w:hint="eastAsia" w:ascii="宋体" w:hAnsi="宋体" w:cs="宋体"/>
          <w:b/>
          <w:sz w:val="21"/>
          <w:szCs w:val="21"/>
          <w:lang w:val="zh-CN"/>
        </w:rPr>
        <w:t xml:space="preserve">不管是否为进口产品，投标人均应以人民币报价，人民币报价直接作为价格分计算依据。 </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rPr>
        <w:t>2.2</w:t>
      </w:r>
      <w:r>
        <w:rPr>
          <w:rFonts w:hint="eastAsia" w:ascii="宋体" w:hAnsi="宋体" w:cs="宋体"/>
          <w:b/>
          <w:sz w:val="21"/>
          <w:szCs w:val="21"/>
          <w:lang w:val="zh-CN"/>
        </w:rPr>
        <w:t xml:space="preserve">中标人如与境外投标人约定外币计价的，汇率风险由中标人自行承担。 </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rPr>
        <w:t>2.3</w:t>
      </w:r>
      <w:r>
        <w:rPr>
          <w:rFonts w:hint="eastAsia" w:ascii="宋体" w:hAnsi="宋体" w:cs="宋体"/>
          <w:b/>
          <w:sz w:val="21"/>
          <w:szCs w:val="21"/>
          <w:lang w:val="zh-CN"/>
        </w:rPr>
        <w:t>如需采购人办理进口（减免税）手续，由采购人指定外贸代理机构办理，代理费包含在中标人人民币报价中。代理费相关事宜详细说明如下:</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外贸代理费用包括外贸代理公司的服务费和代收费用，均包含在中标人人民币报价中。为规范计费，将代收费用分为常规代收费和额外代收费两类。杭州进港杭州地区安装及约定的常规方式产生的代收费特指为常规代收费，服务费和常规代收费根据单个外贸合同的金额(人民币金额)按下表费率包干计算：</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52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tcBorders>
              <w:bottom w:val="single" w:color="auto" w:sz="4" w:space="0"/>
            </w:tcBorders>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外贸合同金额</w:t>
            </w:r>
          </w:p>
        </w:tc>
        <w:tc>
          <w:tcPr>
            <w:tcW w:w="2520" w:type="dxa"/>
            <w:tcBorders>
              <w:bottom w:val="single" w:color="auto" w:sz="4" w:space="0"/>
            </w:tcBorders>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费率报价</w:t>
            </w:r>
          </w:p>
        </w:tc>
        <w:tc>
          <w:tcPr>
            <w:tcW w:w="2193" w:type="dxa"/>
            <w:tcBorders>
              <w:bottom w:val="single" w:color="auto" w:sz="4" w:space="0"/>
            </w:tcBorders>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10万以下</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2450人民币元</w:t>
            </w:r>
          </w:p>
        </w:tc>
        <w:tc>
          <w:tcPr>
            <w:tcW w:w="2193"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固定金额收费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［10-35)万</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rPr>
              <w:t>2</w:t>
            </w:r>
            <w:r>
              <w:rPr>
                <w:rFonts w:hint="eastAsia" w:ascii="宋体" w:hAnsi="宋体" w:cs="宋体"/>
                <w:b/>
                <w:sz w:val="21"/>
                <w:szCs w:val="21"/>
                <w:lang w:val="zh-CN"/>
              </w:rPr>
              <w:t>%</w:t>
            </w:r>
          </w:p>
        </w:tc>
        <w:tc>
          <w:tcPr>
            <w:tcW w:w="2193" w:type="dxa"/>
            <w:vAlign w:val="center"/>
          </w:tcPr>
          <w:p>
            <w:pPr>
              <w:spacing w:line="288" w:lineRule="auto"/>
              <w:jc w:val="center"/>
              <w:rPr>
                <w:rFonts w:ascii="宋体" w:hAnsi="宋体" w:cs="宋体"/>
                <w:b/>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［35-70)万</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rPr>
              <w:t>1.6</w:t>
            </w:r>
            <w:r>
              <w:rPr>
                <w:rFonts w:hint="eastAsia" w:ascii="宋体" w:hAnsi="宋体" w:cs="宋体"/>
                <w:b/>
                <w:sz w:val="21"/>
                <w:szCs w:val="21"/>
                <w:lang w:val="zh-CN"/>
              </w:rPr>
              <w:t>%</w:t>
            </w:r>
          </w:p>
        </w:tc>
        <w:tc>
          <w:tcPr>
            <w:tcW w:w="2193" w:type="dxa"/>
            <w:vAlign w:val="center"/>
          </w:tcPr>
          <w:p>
            <w:pPr>
              <w:spacing w:line="288" w:lineRule="auto"/>
              <w:jc w:val="center"/>
              <w:rPr>
                <w:rFonts w:ascii="宋体" w:hAnsi="宋体" w:cs="宋体"/>
                <w:b/>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［70-140)万</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w:t>
            </w:r>
          </w:p>
        </w:tc>
        <w:tc>
          <w:tcPr>
            <w:tcW w:w="2193" w:type="dxa"/>
            <w:vAlign w:val="center"/>
          </w:tcPr>
          <w:p>
            <w:pPr>
              <w:spacing w:line="288" w:lineRule="auto"/>
              <w:jc w:val="center"/>
              <w:rPr>
                <w:rFonts w:ascii="宋体" w:hAnsi="宋体" w:cs="宋体"/>
                <w:b/>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［140-350)万</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rPr>
              <w:t>0.8</w:t>
            </w:r>
            <w:r>
              <w:rPr>
                <w:rFonts w:hint="eastAsia" w:ascii="宋体" w:hAnsi="宋体" w:cs="宋体"/>
                <w:b/>
                <w:sz w:val="21"/>
                <w:szCs w:val="21"/>
                <w:lang w:val="zh-CN"/>
              </w:rPr>
              <w:t>%</w:t>
            </w:r>
          </w:p>
        </w:tc>
        <w:tc>
          <w:tcPr>
            <w:tcW w:w="2193" w:type="dxa"/>
            <w:vAlign w:val="center"/>
          </w:tcPr>
          <w:p>
            <w:pPr>
              <w:spacing w:line="288" w:lineRule="auto"/>
              <w:jc w:val="center"/>
              <w:rPr>
                <w:rFonts w:ascii="宋体" w:hAnsi="宋体" w:cs="宋体"/>
                <w:b/>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5"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350万及以上</w:t>
            </w:r>
          </w:p>
        </w:tc>
        <w:tc>
          <w:tcPr>
            <w:tcW w:w="2520" w:type="dxa"/>
            <w:vAlign w:val="center"/>
          </w:tcPr>
          <w:p>
            <w:pPr>
              <w:spacing w:line="288" w:lineRule="auto"/>
              <w:jc w:val="center"/>
              <w:rPr>
                <w:rFonts w:ascii="宋体" w:hAnsi="宋体" w:cs="宋体"/>
                <w:b/>
                <w:sz w:val="21"/>
                <w:szCs w:val="21"/>
                <w:lang w:val="zh-CN"/>
              </w:rPr>
            </w:pPr>
            <w:r>
              <w:rPr>
                <w:rFonts w:hint="eastAsia" w:ascii="宋体" w:hAnsi="宋体" w:cs="宋体"/>
                <w:b/>
                <w:sz w:val="21"/>
                <w:szCs w:val="21"/>
                <w:lang w:val="zh-CN"/>
              </w:rPr>
              <w:t>0.</w:t>
            </w:r>
            <w:r>
              <w:rPr>
                <w:rFonts w:hint="eastAsia" w:ascii="宋体" w:hAnsi="宋体" w:cs="宋体"/>
                <w:b/>
                <w:sz w:val="21"/>
                <w:szCs w:val="21"/>
              </w:rPr>
              <w:t>7</w:t>
            </w:r>
            <w:r>
              <w:rPr>
                <w:rFonts w:hint="eastAsia" w:ascii="宋体" w:hAnsi="宋体" w:cs="宋体"/>
                <w:b/>
                <w:sz w:val="21"/>
                <w:szCs w:val="21"/>
                <w:lang w:val="zh-CN"/>
              </w:rPr>
              <w:t>%</w:t>
            </w:r>
          </w:p>
        </w:tc>
        <w:tc>
          <w:tcPr>
            <w:tcW w:w="2193" w:type="dxa"/>
            <w:vAlign w:val="center"/>
          </w:tcPr>
          <w:p>
            <w:pPr>
              <w:spacing w:line="288" w:lineRule="auto"/>
              <w:jc w:val="center"/>
              <w:rPr>
                <w:rFonts w:ascii="宋体" w:hAnsi="宋体" w:cs="宋体"/>
                <w:b/>
                <w:sz w:val="21"/>
                <w:szCs w:val="21"/>
                <w:lang w:val="zh-CN"/>
              </w:rPr>
            </w:pPr>
          </w:p>
        </w:tc>
      </w:tr>
    </w:tbl>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以上费率不含额外代收费。额外代收费指在办理进口及减免税过程中不能按约定的常规方式办理导致的额外支出，如以下费用：</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（1）将一次性支付变更为多次付费的，由提出方承担增加的银行费用。如一个成交项目需要分开签署多份外贸合同的，每个合同根据合同金额所处区间确定代理费率。</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（2）货物到港地为杭州以外的异地目的港，或者货物最终目的地为杭州以外的异地地点时，需要产生的额外运费、保险费和搬卸费。</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 xml:space="preserve">（3）海运进口换单费超出300元/票的部分 (此条款针对个别海运进口的投标人，在发货当地选择价格特别低廉甚至0成本运费的方式，从而把物流成本转嫁到国内段，以换单费等形式向国内客户收取的情况)。 </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4）特种设备检测费、能效检测费、最终用户和最终用途说明办理费用；特殊物品生物卫生检验备案费等其它特殊收费；因特殊原因导致额外增加的仓储费，如入冷冻仓库和危险品仓库的仓储费；需要使用特殊运输车辆（如避震车、冷链运输等）的费用；试剂类产品额外增加费用。</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（5）因投标人指定货代导致的额外费用。</w:t>
      </w:r>
    </w:p>
    <w:p>
      <w:pPr>
        <w:spacing w:line="288" w:lineRule="auto"/>
        <w:ind w:firstLine="422" w:firstLineChars="200"/>
        <w:jc w:val="left"/>
        <w:rPr>
          <w:rFonts w:ascii="宋体" w:hAnsi="宋体" w:cs="宋体"/>
          <w:b/>
          <w:sz w:val="21"/>
          <w:szCs w:val="21"/>
          <w:lang w:val="zh-CN"/>
        </w:rPr>
      </w:pPr>
      <w:r>
        <w:rPr>
          <w:rFonts w:hint="eastAsia" w:ascii="宋体" w:hAnsi="宋体" w:cs="宋体"/>
          <w:b/>
          <w:sz w:val="21"/>
          <w:szCs w:val="21"/>
          <w:lang w:val="zh-CN"/>
        </w:rPr>
        <w:t>如遇以上未涉及的收费，参照以上协商处理。</w:t>
      </w:r>
    </w:p>
    <w:p>
      <w:pPr>
        <w:adjustRightInd w:val="0"/>
        <w:snapToGrid w:val="0"/>
        <w:spacing w:line="288" w:lineRule="auto"/>
        <w:ind w:firstLine="453" w:firstLineChars="215"/>
        <w:jc w:val="left"/>
        <w:rPr>
          <w:rFonts w:ascii="宋体" w:hAnsi="宋体"/>
          <w:spacing w:val="-6"/>
          <w:sz w:val="21"/>
          <w:szCs w:val="21"/>
          <w:highlight w:val="yellow"/>
        </w:rPr>
      </w:pPr>
      <w:r>
        <w:rPr>
          <w:rFonts w:hint="eastAsia" w:ascii="宋体" w:hAnsi="宋体" w:cs="宋体"/>
          <w:b/>
          <w:sz w:val="21"/>
          <w:szCs w:val="21"/>
          <w:lang w:val="zh-CN"/>
        </w:rPr>
        <w:t>额外代收费用包含在中标人人民币报价中，外贸代理公司在结算时需向收费人列出明细及单据，并接受浙江大学采购中心的监督。</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3.投标报价是履行合同的最终价格，有关本项目实施所涉及的一切费用均计入报价；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adjustRightInd w:val="0"/>
        <w:snapToGrid w:val="0"/>
        <w:spacing w:line="288" w:lineRule="auto"/>
        <w:ind w:firstLine="420" w:firstLineChars="200"/>
        <w:jc w:val="left"/>
        <w:rPr>
          <w:rFonts w:ascii="宋体" w:hAnsi="宋体" w:cs="宋体"/>
          <w:sz w:val="21"/>
          <w:szCs w:val="21"/>
        </w:rPr>
      </w:pPr>
      <w:bookmarkStart w:id="40" w:name="_Hlk94018664"/>
      <w:r>
        <w:rPr>
          <w:rFonts w:hint="eastAsia" w:ascii="宋体" w:hAnsi="宋体" w:cs="宋体"/>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bookmarkEnd w:id="40"/>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（六）投标有效期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pPr>
        <w:widowControl/>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四、资格审查不通过、投标无效的情形</w:t>
      </w:r>
    </w:p>
    <w:p>
      <w:pPr>
        <w:adjustRightInd w:val="0"/>
        <w:snapToGrid w:val="0"/>
        <w:spacing w:line="288" w:lineRule="auto"/>
        <w:ind w:firstLine="420" w:firstLineChars="200"/>
        <w:rPr>
          <w:rFonts w:ascii="宋体" w:hAnsi="宋体" w:cs="宋体"/>
          <w:sz w:val="21"/>
          <w:szCs w:val="21"/>
        </w:rPr>
      </w:pPr>
      <w:bookmarkStart w:id="41" w:name="_Hlk94018682"/>
      <w:r>
        <w:rPr>
          <w:rFonts w:hint="eastAsia" w:ascii="宋体" w:hAnsi="宋体" w:cs="宋体"/>
          <w:sz w:val="21"/>
          <w:szCs w:val="21"/>
        </w:rPr>
        <w:t>未响应招标文件“▲”标记条款要求的，投标无效。</w:t>
      </w:r>
      <w:bookmarkEnd w:id="41"/>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文件要求的</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（3）资格</w:t>
      </w:r>
      <w:r>
        <w:rPr>
          <w:rFonts w:ascii="宋体" w:hAnsi="宋体"/>
          <w:spacing w:val="-6"/>
          <w:sz w:val="21"/>
          <w:szCs w:val="21"/>
        </w:rPr>
        <w:t>文件</w:t>
      </w:r>
      <w:r>
        <w:rPr>
          <w:rFonts w:hint="eastAsia" w:ascii="宋体" w:hAnsi="宋体"/>
          <w:spacing w:val="-6"/>
          <w:sz w:val="21"/>
          <w:szCs w:val="21"/>
        </w:rPr>
        <w:t>未按要求签署、盖章的；</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w:t>
      </w:r>
      <w:r>
        <w:rPr>
          <w:rFonts w:ascii="宋体" w:hAnsi="宋体"/>
          <w:spacing w:val="-6"/>
          <w:sz w:val="21"/>
          <w:szCs w:val="21"/>
        </w:rPr>
        <w:t>、</w:t>
      </w:r>
      <w:r>
        <w:rPr>
          <w:rFonts w:hint="eastAsia" w:ascii="宋体" w:hAnsi="宋体"/>
          <w:spacing w:val="-6"/>
          <w:sz w:val="21"/>
          <w:szCs w:val="21"/>
        </w:rPr>
        <w:t>法定代表人授权委托书；</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hint="eastAsia" w:ascii="宋体" w:hAnsi="宋体"/>
          <w:bCs/>
          <w:spacing w:val="-6"/>
          <w:sz w:val="21"/>
          <w:szCs w:val="21"/>
        </w:rPr>
        <w:t>法定代表人委托授权代表</w:t>
      </w:r>
      <w:r>
        <w:rPr>
          <w:rFonts w:ascii="宋体" w:hAnsi="宋体"/>
          <w:bCs/>
          <w:spacing w:val="-6"/>
          <w:sz w:val="21"/>
          <w:szCs w:val="21"/>
        </w:rPr>
        <w:t>参加投</w:t>
      </w:r>
      <w:r>
        <w:rPr>
          <w:rFonts w:hint="eastAsia" w:ascii="宋体" w:hAnsi="宋体"/>
          <w:bCs/>
          <w:spacing w:val="-6"/>
          <w:sz w:val="21"/>
          <w:szCs w:val="21"/>
        </w:rPr>
        <w:t>标但未</w:t>
      </w:r>
      <w:r>
        <w:rPr>
          <w:rFonts w:ascii="宋体" w:hAnsi="宋体"/>
          <w:bCs/>
          <w:spacing w:val="-6"/>
          <w:sz w:val="21"/>
          <w:szCs w:val="21"/>
        </w:rPr>
        <w:t>提供</w:t>
      </w:r>
      <w:r>
        <w:rPr>
          <w:rFonts w:hint="eastAsia" w:ascii="宋体" w:hAnsi="宋体"/>
          <w:bCs/>
          <w:spacing w:val="-6"/>
          <w:sz w:val="21"/>
          <w:szCs w:val="21"/>
        </w:rPr>
        <w:t>投标授权代表社保缴纳证明的</w:t>
      </w:r>
      <w:r>
        <w:rPr>
          <w:rFonts w:ascii="宋体" w:hAnsi="宋体"/>
          <w:bCs/>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6</w:t>
      </w:r>
      <w:r>
        <w:rPr>
          <w:rFonts w:hint="eastAsia" w:ascii="宋体" w:hAnsi="宋体"/>
          <w:spacing w:val="-6"/>
          <w:sz w:val="21"/>
          <w:szCs w:val="21"/>
        </w:rPr>
        <w:t>）</w:t>
      </w:r>
      <w:r>
        <w:rPr>
          <w:rFonts w:ascii="宋体" w:hAnsi="宋体"/>
          <w:spacing w:val="-6"/>
          <w:sz w:val="21"/>
          <w:szCs w:val="21"/>
        </w:rPr>
        <w:t>投标技术方案不明确，存在一个或一个以上备选（替代）投标方案的；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）投标文件含有采购人不能接受的附加条件的；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）法律、法规和招标文件规定的其他无效情形。</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）未按照招标文件标明的币种报价的</w:t>
      </w:r>
      <w:r>
        <w:rPr>
          <w:rFonts w:hint="eastAsia" w:ascii="宋体" w:hAnsi="宋体"/>
          <w:spacing w:val="-6"/>
          <w:sz w:val="21"/>
          <w:szCs w:val="21"/>
        </w:rPr>
        <w:t>；</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（5）报价具有选择性，或者开标价格与投标文件承诺的优惠（折扣）价格不一致的；</w:t>
      </w:r>
    </w:p>
    <w:p>
      <w:pPr>
        <w:widowControl/>
        <w:adjustRightInd w:val="0"/>
        <w:snapToGrid w:val="0"/>
        <w:spacing w:line="288" w:lineRule="auto"/>
        <w:ind w:firstLine="396" w:firstLineChars="200"/>
        <w:jc w:val="left"/>
        <w:rPr>
          <w:rFonts w:ascii="宋体" w:hAnsi="宋体"/>
          <w:spacing w:val="-6"/>
          <w:sz w:val="21"/>
          <w:szCs w:val="21"/>
        </w:rPr>
      </w:pPr>
      <w:bookmarkStart w:id="42" w:name="_Hlk94018736"/>
      <w:r>
        <w:rPr>
          <w:rFonts w:hint="eastAsia" w:ascii="宋体" w:hAnsi="宋体"/>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42"/>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widowControl/>
        <w:adjustRightInd w:val="0"/>
        <w:snapToGrid w:val="0"/>
        <w:spacing w:line="288" w:lineRule="auto"/>
        <w:ind w:firstLine="398" w:firstLineChars="200"/>
        <w:jc w:val="center"/>
        <w:outlineLvl w:val="1"/>
        <w:rPr>
          <w:rFonts w:ascii="宋体" w:hAnsi="宋体"/>
          <w:b/>
          <w:spacing w:val="-6"/>
          <w:sz w:val="21"/>
          <w:szCs w:val="21"/>
        </w:rPr>
      </w:pPr>
      <w:r>
        <w:rPr>
          <w:rFonts w:ascii="宋体" w:hAnsi="宋体"/>
          <w:b/>
          <w:spacing w:val="-6"/>
          <w:sz w:val="21"/>
          <w:szCs w:val="21"/>
        </w:rPr>
        <w:br w:type="page"/>
      </w:r>
      <w:r>
        <w:rPr>
          <w:rFonts w:hint="eastAsia" w:ascii="宋体" w:hAnsi="宋体"/>
          <w:b/>
          <w:spacing w:val="-6"/>
          <w:sz w:val="21"/>
          <w:szCs w:val="21"/>
        </w:rPr>
        <w:t>五、开  标</w:t>
      </w:r>
    </w:p>
    <w:p>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第一阶段</w:t>
      </w:r>
    </w:p>
    <w:p>
      <w:pPr>
        <w:autoSpaceDE w:val="0"/>
        <w:autoSpaceDN w:val="0"/>
        <w:adjustRightInd w:val="0"/>
        <w:snapToGrid w:val="0"/>
        <w:spacing w:line="288" w:lineRule="auto"/>
        <w:ind w:firstLine="424" w:firstLineChars="201"/>
        <w:rPr>
          <w:rFonts w:ascii="宋体" w:hAnsi="宋体"/>
          <w:kern w:val="0"/>
          <w:sz w:val="21"/>
          <w:szCs w:val="21"/>
        </w:rPr>
      </w:pPr>
      <w:r>
        <w:rPr>
          <w:rFonts w:hint="eastAsia" w:ascii="宋体" w:hAnsi="宋体" w:cs="仿宋_GB2312"/>
          <w:b/>
          <w:kern w:val="0"/>
          <w:sz w:val="21"/>
          <w:szCs w:val="21"/>
        </w:rPr>
        <w:t>（一）</w:t>
      </w:r>
      <w:r>
        <w:rPr>
          <w:rFonts w:ascii="宋体" w:hAnsi="宋体" w:cs="仿宋_GB2312"/>
          <w:b/>
          <w:kern w:val="0"/>
          <w:sz w:val="21"/>
          <w:szCs w:val="21"/>
        </w:rPr>
        <w:t>开标</w:t>
      </w:r>
    </w:p>
    <w:p>
      <w:pPr>
        <w:autoSpaceDE w:val="0"/>
        <w:autoSpaceDN w:val="0"/>
        <w:adjustRightInd w:val="0"/>
        <w:snapToGrid w:val="0"/>
        <w:spacing w:line="288" w:lineRule="auto"/>
        <w:ind w:firstLine="422" w:firstLineChars="201"/>
        <w:rPr>
          <w:rFonts w:ascii="宋体" w:hAnsi="宋体" w:cs="仿宋_GB2312"/>
          <w:kern w:val="0"/>
          <w:sz w:val="21"/>
          <w:szCs w:val="21"/>
        </w:rPr>
      </w:pPr>
      <w:r>
        <w:rPr>
          <w:rFonts w:hint="eastAsia" w:ascii="宋体" w:hAnsi="宋体" w:cs="仿宋_GB2312"/>
          <w:kern w:val="0"/>
          <w:sz w:val="21"/>
          <w:szCs w:val="21"/>
        </w:rPr>
        <w:t>采购代理机构按照招标文件规定的时间、地点和程序组织开标，开标采取先拆封资格文件、商务和技术文件、后拆封报价文件的顺序进行</w:t>
      </w:r>
      <w:r>
        <w:rPr>
          <w:rFonts w:ascii="宋体" w:hAnsi="宋体" w:cs="仿宋_GB2312"/>
          <w:kern w:val="0"/>
          <w:sz w:val="21"/>
          <w:szCs w:val="21"/>
        </w:rPr>
        <w:t>。投标人不足3家的，不得开标。</w:t>
      </w:r>
    </w:p>
    <w:p>
      <w:pPr>
        <w:widowControl/>
        <w:adjustRightInd w:val="0"/>
        <w:snapToGrid w:val="0"/>
        <w:spacing w:line="288" w:lineRule="auto"/>
        <w:ind w:firstLine="424" w:firstLineChars="201"/>
        <w:jc w:val="left"/>
        <w:rPr>
          <w:rFonts w:ascii="宋体" w:hAnsi="宋体" w:cs="仿宋_GB2312"/>
          <w:b/>
          <w:sz w:val="21"/>
          <w:szCs w:val="21"/>
        </w:rPr>
      </w:pPr>
      <w:r>
        <w:rPr>
          <w:rFonts w:hint="eastAsia" w:ascii="宋体" w:hAnsi="宋体" w:cs="仿宋_GB2312"/>
          <w:b/>
          <w:sz w:val="21"/>
          <w:szCs w:val="21"/>
        </w:rPr>
        <w:t>（二）</w:t>
      </w:r>
      <w:r>
        <w:rPr>
          <w:rFonts w:ascii="宋体" w:hAnsi="宋体" w:cs="仿宋_GB2312"/>
          <w:b/>
          <w:sz w:val="21"/>
          <w:szCs w:val="21"/>
        </w:rPr>
        <w:t>资格审查</w:t>
      </w:r>
    </w:p>
    <w:p>
      <w:pPr>
        <w:adjustRightInd w:val="0"/>
        <w:snapToGrid w:val="0"/>
        <w:spacing w:line="288" w:lineRule="auto"/>
        <w:ind w:firstLine="422" w:firstLineChars="201"/>
        <w:rPr>
          <w:rFonts w:ascii="宋体" w:hAnsi="宋体" w:cs="仿宋_GB2312"/>
          <w:sz w:val="21"/>
          <w:szCs w:val="21"/>
        </w:rPr>
      </w:pPr>
      <w:r>
        <w:rPr>
          <w:rFonts w:ascii="宋体" w:hAnsi="宋体" w:cs="Arial"/>
          <w:kern w:val="0"/>
          <w:sz w:val="21"/>
          <w:szCs w:val="21"/>
        </w:rPr>
        <w:t>开标后，</w:t>
      </w:r>
      <w:r>
        <w:rPr>
          <w:rFonts w:hint="eastAsia" w:ascii="宋体" w:hAnsi="宋体" w:cs="仿宋_GB2312"/>
          <w:sz w:val="21"/>
          <w:szCs w:val="21"/>
        </w:rPr>
        <w:t>采购人或采购机构依据法律法规和招标文件的规定，对投标人的资格条件进行审查。</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adjustRightInd w:val="0"/>
        <w:snapToGrid w:val="0"/>
        <w:spacing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7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根据财库[2016]125号《关于在政府采购活动中查询及使用信用记录有关问题的通知》要求，采购代理机构会对投标人信用记录进行查询并甄别。信用信息查询的截止时点：投标截止时间；</w:t>
      </w:r>
    </w:p>
    <w:p>
      <w:pPr>
        <w:pStyle w:val="7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7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72"/>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autoSpaceDE w:val="0"/>
        <w:autoSpaceDN w:val="0"/>
        <w:adjustRightInd w:val="0"/>
        <w:snapToGrid w:val="0"/>
        <w:spacing w:line="288" w:lineRule="auto"/>
        <w:rPr>
          <w:rFonts w:ascii="宋体" w:hAnsi="宋体" w:cs="仿宋_GB2312"/>
          <w:b/>
          <w:kern w:val="0"/>
          <w:sz w:val="21"/>
          <w:szCs w:val="21"/>
        </w:rPr>
      </w:pPr>
      <w:r>
        <w:rPr>
          <w:rFonts w:hint="eastAsia" w:ascii="宋体" w:hAnsi="宋体" w:cs="仿宋_GB2312"/>
          <w:b/>
          <w:kern w:val="0"/>
          <w:sz w:val="21"/>
          <w:szCs w:val="21"/>
        </w:rPr>
        <w:t>第二阶段</w:t>
      </w:r>
    </w:p>
    <w:p>
      <w:pPr>
        <w:adjustRightInd w:val="0"/>
        <w:snapToGrid w:val="0"/>
        <w:spacing w:line="288" w:lineRule="auto"/>
        <w:ind w:firstLine="424" w:firstLineChars="201"/>
        <w:rPr>
          <w:rFonts w:ascii="宋体" w:hAnsi="宋体" w:cs="仿宋_GB2312"/>
          <w:b/>
          <w:sz w:val="21"/>
          <w:szCs w:val="21"/>
        </w:rPr>
      </w:pPr>
      <w:r>
        <w:rPr>
          <w:rFonts w:hint="eastAsia" w:ascii="宋体" w:hAnsi="宋体" w:cs="仿宋_GB2312"/>
          <w:b/>
          <w:sz w:val="21"/>
          <w:szCs w:val="21"/>
        </w:rPr>
        <w:t>（一）开启报价</w:t>
      </w:r>
    </w:p>
    <w:p>
      <w:pPr>
        <w:pStyle w:val="11"/>
        <w:adjustRightInd w:val="0"/>
        <w:snapToGrid w:val="0"/>
        <w:spacing w:line="288" w:lineRule="auto"/>
        <w:ind w:firstLine="396" w:firstLineChars="200"/>
        <w:rPr>
          <w:rFonts w:hAnsi="宋体"/>
          <w:spacing w:val="-6"/>
          <w:sz w:val="21"/>
          <w:szCs w:val="21"/>
        </w:rPr>
      </w:pPr>
      <w:r>
        <w:rPr>
          <w:rFonts w:hAnsi="宋体"/>
          <w:spacing w:val="-6"/>
          <w:sz w:val="21"/>
          <w:szCs w:val="21"/>
        </w:rPr>
        <w:t>商务和技术评审结束后，</w:t>
      </w:r>
      <w:r>
        <w:rPr>
          <w:rFonts w:hint="eastAsia" w:hAnsi="宋体"/>
          <w:spacing w:val="-6"/>
          <w:sz w:val="21"/>
          <w:szCs w:val="21"/>
        </w:rPr>
        <w:t>宣告</w:t>
      </w:r>
      <w:r>
        <w:rPr>
          <w:rFonts w:hAnsi="宋体"/>
          <w:spacing w:val="-6"/>
          <w:sz w:val="21"/>
          <w:szCs w:val="21"/>
        </w:rPr>
        <w:t>商务和技术评审无效投标人名称及理由，投标人代表可收回未拆封的报价文件并签名确认；公布经商务和技术评审符合采购需求的投标人名单，采用综合评分法的，公布其商务和技术得分情况。</w:t>
      </w:r>
    </w:p>
    <w:p>
      <w:pPr>
        <w:pStyle w:val="11"/>
        <w:adjustRightInd w:val="0"/>
        <w:snapToGrid w:val="0"/>
        <w:spacing w:line="288" w:lineRule="auto"/>
        <w:ind w:firstLine="396" w:firstLineChars="200"/>
        <w:rPr>
          <w:rFonts w:hAnsi="宋体"/>
          <w:spacing w:val="-6"/>
          <w:sz w:val="21"/>
          <w:szCs w:val="21"/>
        </w:rPr>
      </w:pPr>
      <w:r>
        <w:rPr>
          <w:rFonts w:hAnsi="宋体"/>
          <w:spacing w:val="-6"/>
          <w:sz w:val="21"/>
          <w:szCs w:val="21"/>
        </w:rPr>
        <w:t>拆封投标人报价文件，宣读开标一览表有关内容，同时当场制作并打印开标记录表。唱标结束后，由评标委员会对报价</w:t>
      </w:r>
      <w:r>
        <w:rPr>
          <w:rFonts w:hint="eastAsia" w:hAnsi="宋体"/>
          <w:spacing w:val="-6"/>
          <w:sz w:val="21"/>
          <w:szCs w:val="21"/>
        </w:rPr>
        <w:t>进行评审</w:t>
      </w:r>
      <w:r>
        <w:rPr>
          <w:rFonts w:hAnsi="宋体"/>
          <w:spacing w:val="-6"/>
          <w:sz w:val="21"/>
          <w:szCs w:val="21"/>
        </w:rPr>
        <w:t>。</w:t>
      </w:r>
    </w:p>
    <w:p>
      <w:pPr>
        <w:pStyle w:val="11"/>
        <w:adjustRightInd w:val="0"/>
        <w:snapToGrid w:val="0"/>
        <w:spacing w:line="288" w:lineRule="auto"/>
        <w:ind w:firstLine="0"/>
        <w:rPr>
          <w:rFonts w:hAnsi="宋体"/>
          <w:sz w:val="21"/>
          <w:szCs w:val="21"/>
        </w:rPr>
      </w:pPr>
      <w:r>
        <w:rPr>
          <w:rFonts w:hAnsi="宋体"/>
          <w:b/>
          <w:spacing w:val="-6"/>
          <w:sz w:val="21"/>
          <w:szCs w:val="21"/>
        </w:rPr>
        <w:br w:type="page"/>
      </w:r>
    </w:p>
    <w:p>
      <w:pPr>
        <w:pStyle w:val="13"/>
        <w:adjustRightInd w:val="0"/>
        <w:snapToGrid w:val="0"/>
        <w:spacing w:beforeLines="0" w:afterLines="0" w:line="288" w:lineRule="auto"/>
        <w:jc w:val="center"/>
        <w:outlineLvl w:val="1"/>
        <w:rPr>
          <w:rFonts w:hAnsi="宋体"/>
          <w:b/>
          <w:spacing w:val="-6"/>
          <w:sz w:val="21"/>
          <w:szCs w:val="21"/>
        </w:rPr>
      </w:pPr>
      <w:r>
        <w:rPr>
          <w:rFonts w:hint="eastAsia" w:hAnsi="宋体"/>
          <w:b/>
          <w:spacing w:val="-6"/>
          <w:sz w:val="21"/>
          <w:szCs w:val="21"/>
        </w:rPr>
        <w:t>六、评  标</w:t>
      </w:r>
    </w:p>
    <w:p>
      <w:pPr>
        <w:adjustRightInd w:val="0"/>
        <w:snapToGrid w:val="0"/>
        <w:spacing w:line="288" w:lineRule="auto"/>
        <w:ind w:firstLine="420" w:firstLineChars="200"/>
        <w:rPr>
          <w:rFonts w:ascii="宋体" w:hAnsi="宋体" w:cs="宋体"/>
          <w:kern w:val="0"/>
          <w:sz w:val="21"/>
          <w:szCs w:val="21"/>
        </w:rPr>
      </w:pPr>
      <w:bookmarkStart w:id="43" w:name="_Hlk94018958"/>
      <w:r>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cs="宋体"/>
          <w:kern w:val="0"/>
          <w:sz w:val="21"/>
          <w:szCs w:val="21"/>
        </w:rPr>
      </w:pPr>
      <w:r>
        <w:rPr>
          <w:rFonts w:ascii="宋体" w:hAnsi="宋体" w:cs="宋体"/>
          <w:kern w:val="0"/>
          <w:sz w:val="21"/>
          <w:szCs w:val="21"/>
        </w:rPr>
        <w:t>评标中因评标委员会成员缺席、回避或者健康等特殊原因导致评标委员会组成不符合规定的，依法补足后继续评标。被更换的评标委员会成员所作出的评标意见无效。</w:t>
      </w:r>
      <w:bookmarkEnd w:id="43"/>
    </w:p>
    <w:p>
      <w:pPr>
        <w:adjustRightInd w:val="0"/>
        <w:snapToGrid w:val="0"/>
        <w:spacing w:line="288" w:lineRule="auto"/>
        <w:ind w:firstLine="426" w:firstLineChars="202"/>
        <w:rPr>
          <w:rFonts w:ascii="宋体" w:hAnsi="宋体" w:cs="Arial"/>
          <w:b/>
          <w:kern w:val="0"/>
          <w:sz w:val="21"/>
          <w:szCs w:val="21"/>
        </w:rPr>
      </w:pPr>
      <w:bookmarkStart w:id="44" w:name="_Hlk94019000"/>
      <w:r>
        <w:rPr>
          <w:rFonts w:hint="eastAsia" w:ascii="宋体" w:hAnsi="宋体" w:cs="Arial"/>
          <w:b/>
          <w:kern w:val="0"/>
          <w:sz w:val="21"/>
          <w:szCs w:val="21"/>
        </w:rPr>
        <w:t>（一）</w:t>
      </w:r>
      <w:r>
        <w:rPr>
          <w:rFonts w:ascii="宋体" w:hAnsi="宋体" w:cs="Arial"/>
          <w:b/>
          <w:kern w:val="0"/>
          <w:sz w:val="21"/>
          <w:szCs w:val="21"/>
        </w:rPr>
        <w:t>符合性审查</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评标委员会对符合资格的投标人的投标文件进行符合性审查，以确定其是否满足招标文件的实质性要求。</w:t>
      </w:r>
      <w:r>
        <w:rPr>
          <w:rFonts w:hint="eastAsia" w:ascii="宋体" w:hAnsi="宋体" w:cs="Arial"/>
          <w:kern w:val="0"/>
          <w:sz w:val="21"/>
          <w:szCs w:val="21"/>
        </w:rPr>
        <w:t>不</w:t>
      </w:r>
      <w:r>
        <w:rPr>
          <w:rFonts w:ascii="宋体" w:hAnsi="宋体" w:cs="Arial"/>
          <w:kern w:val="0"/>
          <w:sz w:val="21"/>
          <w:szCs w:val="21"/>
        </w:rPr>
        <w:t>满足招标文件的实质性要求</w:t>
      </w:r>
      <w:r>
        <w:rPr>
          <w:rFonts w:hint="eastAsia" w:ascii="宋体" w:hAnsi="宋体" w:cs="Arial"/>
          <w:kern w:val="0"/>
          <w:sz w:val="21"/>
          <w:szCs w:val="21"/>
        </w:rPr>
        <w:t>的，投标无效。</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（二）比较与评价</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（三）</w:t>
      </w:r>
      <w:r>
        <w:rPr>
          <w:rFonts w:ascii="宋体" w:hAnsi="宋体" w:cs="Arial"/>
          <w:b/>
          <w:kern w:val="0"/>
          <w:sz w:val="21"/>
          <w:szCs w:val="21"/>
        </w:rPr>
        <w:t>汇总商务技术得分</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（四）</w:t>
      </w:r>
      <w:r>
        <w:rPr>
          <w:rFonts w:ascii="宋体" w:hAnsi="宋体" w:cs="Arial"/>
          <w:b/>
          <w:kern w:val="0"/>
          <w:sz w:val="21"/>
          <w:szCs w:val="21"/>
        </w:rPr>
        <w:t>报价评审</w:t>
      </w:r>
    </w:p>
    <w:p>
      <w:pPr>
        <w:adjustRightInd w:val="0"/>
        <w:snapToGrid w:val="0"/>
        <w:spacing w:line="288" w:lineRule="auto"/>
        <w:ind w:firstLine="424" w:firstLineChars="202"/>
        <w:rPr>
          <w:rFonts w:ascii="宋体" w:hAnsi="宋体" w:cs="Arial"/>
          <w:bCs/>
          <w:kern w:val="0"/>
          <w:sz w:val="21"/>
          <w:szCs w:val="21"/>
        </w:rPr>
      </w:pPr>
      <w:r>
        <w:rPr>
          <w:rFonts w:ascii="宋体" w:hAnsi="宋体" w:cs="Arial"/>
          <w:bCs/>
          <w:kern w:val="0"/>
          <w:sz w:val="21"/>
          <w:szCs w:val="21"/>
        </w:rPr>
        <w:t>投标文件报价出现前后不一致的，按照下列规定修正：</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adjustRightInd w:val="0"/>
        <w:snapToGrid w:val="0"/>
        <w:spacing w:line="288" w:lineRule="auto"/>
        <w:ind w:firstLine="424" w:firstLineChars="202"/>
        <w:rPr>
          <w:rFonts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第五十一条第二款的规定“投标人的澄清、说明或者补正应当采用书面形式，并加盖公章，或者由法定代表人或其授权的代表签名。投标人的澄清、说明或者补正不得超出投标文件的范围或者改变投标文件的实质性内容。”经投标人确认后产生约束力。投标人不确认的，其投标无效。</w:t>
      </w:r>
    </w:p>
    <w:p>
      <w:pPr>
        <w:adjustRightInd w:val="0"/>
        <w:snapToGrid w:val="0"/>
        <w:spacing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（五）投标人澄清、说明或者补正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对于投标文件中含义不明确、同类问题表述不一致或者有明显文字和计算错误的内容，评标委员会应当以书面形式要求投标人作出必要的澄清、说明或者补正。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投标人的澄清、说明或者补正应当采用书面形式，并加盖公章，或者由法定代表人或其授权的代表签名。投标人的澄清、说明或者补正不得超出投标文件的范围或者改变投标文件的实质性内容。</w:t>
      </w:r>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投标人的书面澄清、说明或者补正可在规定时间内（30分钟内）通过指定的电子邮箱（zb01@qszb.net</w:t>
      </w:r>
      <w:r>
        <w:rPr>
          <w:rFonts w:ascii="宋体" w:hAnsi="宋体" w:cs="宋体"/>
          <w:kern w:val="0"/>
          <w:sz w:val="21"/>
          <w:szCs w:val="21"/>
        </w:rPr>
        <w:t>）提交。</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（六）排序与推荐</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评标办法</w:t>
      </w:r>
      <w:r>
        <w:rPr>
          <w:rFonts w:hint="eastAsia" w:ascii="宋体" w:hAnsi="宋体" w:cs="Arial"/>
          <w:kern w:val="0"/>
          <w:sz w:val="21"/>
          <w:szCs w:val="21"/>
        </w:rPr>
        <w:t>：</w:t>
      </w:r>
      <w:r>
        <w:rPr>
          <w:rFonts w:ascii="宋体" w:hAnsi="宋体" w:cs="Arial"/>
          <w:kern w:val="0"/>
          <w:sz w:val="21"/>
          <w:szCs w:val="21"/>
        </w:rPr>
        <w:t>本项目评标办法是综合评分法，具体评标内容及评分标准等详见</w:t>
      </w:r>
      <w:r>
        <w:rPr>
          <w:rFonts w:hint="eastAsia" w:ascii="宋体" w:hAnsi="宋体" w:cs="Arial"/>
          <w:kern w:val="0"/>
          <w:sz w:val="21"/>
          <w:szCs w:val="21"/>
        </w:rPr>
        <w:t>“</w:t>
      </w:r>
      <w:r>
        <w:rPr>
          <w:rFonts w:ascii="宋体" w:hAnsi="宋体" w:cs="Arial"/>
          <w:kern w:val="0"/>
          <w:sz w:val="21"/>
          <w:szCs w:val="21"/>
        </w:rPr>
        <w:t>第四章：评标方法及评标标准”。</w:t>
      </w:r>
    </w:p>
    <w:p>
      <w:pPr>
        <w:adjustRightInd w:val="0"/>
        <w:snapToGrid w:val="0"/>
        <w:spacing w:line="288" w:lineRule="auto"/>
        <w:ind w:firstLine="424" w:firstLineChars="202"/>
        <w:rPr>
          <w:rFonts w:ascii="宋体" w:hAnsi="宋体" w:cs="Arial"/>
          <w:kern w:val="0"/>
          <w:sz w:val="21"/>
          <w:szCs w:val="21"/>
          <w:highlight w:val="cyan"/>
        </w:rPr>
      </w:pPr>
      <w:r>
        <w:rPr>
          <w:rFonts w:ascii="宋体" w:hAnsi="宋体" w:cs="Arial"/>
          <w:kern w:val="0"/>
          <w:sz w:val="21"/>
          <w:szCs w:val="21"/>
        </w:rPr>
        <w:t>评标结果按评审后得分由高到低顺序排列。得分相同的，按投标报价由低到高顺序排列。得分且投标报价相同的并列</w:t>
      </w:r>
      <w:r>
        <w:rPr>
          <w:rFonts w:hint="eastAsia" w:ascii="宋体" w:hAnsi="宋体" w:cs="Arial"/>
          <w:kern w:val="0"/>
          <w:sz w:val="21"/>
          <w:szCs w:val="21"/>
        </w:rPr>
        <w:t>（中标候选人并列的，采取随机抽取的方式确定）</w:t>
      </w:r>
      <w:r>
        <w:rPr>
          <w:rFonts w:ascii="宋体" w:hAnsi="宋体" w:cs="Arial"/>
          <w:kern w:val="0"/>
          <w:sz w:val="21"/>
          <w:szCs w:val="21"/>
        </w:rPr>
        <w:t>。投标文件满足招标文件全部实质性要求，且按照评审因素的量化指标评审得分最高的投标人为排名第一的中标候选人</w:t>
      </w:r>
      <w:r>
        <w:rPr>
          <w:rFonts w:hint="eastAsia" w:ascii="宋体" w:hAnsi="宋体" w:cs="Arial"/>
          <w:kern w:val="0"/>
          <w:sz w:val="21"/>
          <w:szCs w:val="21"/>
        </w:rPr>
        <w:t>。</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424" w:firstLineChars="202"/>
        <w:rPr>
          <w:rFonts w:ascii="宋体" w:hAnsi="宋体" w:cs="Arial"/>
          <w:kern w:val="0"/>
          <w:sz w:val="21"/>
          <w:szCs w:val="21"/>
        </w:rPr>
      </w:pPr>
      <w:r>
        <w:rPr>
          <w:rFonts w:hint="eastAsia" w:ascii="宋体" w:hAnsi="宋体" w:cs="Arial"/>
          <w:kern w:val="0"/>
          <w:sz w:val="21"/>
          <w:szCs w:val="21"/>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cs="Arial"/>
          <w:b/>
          <w:kern w:val="0"/>
          <w:sz w:val="21"/>
          <w:szCs w:val="21"/>
        </w:rPr>
      </w:pPr>
      <w:r>
        <w:rPr>
          <w:rFonts w:hint="eastAsia" w:ascii="宋体" w:hAnsi="宋体" w:cs="Arial"/>
          <w:b/>
          <w:kern w:val="0"/>
          <w:sz w:val="21"/>
          <w:szCs w:val="21"/>
        </w:rPr>
        <w:t>（七）</w:t>
      </w:r>
      <w:r>
        <w:rPr>
          <w:rFonts w:ascii="宋体" w:hAnsi="宋体" w:cs="Arial"/>
          <w:b/>
          <w:kern w:val="0"/>
          <w:sz w:val="21"/>
          <w:szCs w:val="21"/>
        </w:rPr>
        <w:t>编写评标报告</w:t>
      </w:r>
    </w:p>
    <w:p>
      <w:pPr>
        <w:adjustRightInd w:val="0"/>
        <w:snapToGrid w:val="0"/>
        <w:spacing w:line="288" w:lineRule="auto"/>
        <w:ind w:firstLine="424" w:firstLineChars="202"/>
        <w:rPr>
          <w:rFonts w:ascii="宋体" w:hAnsi="宋体" w:cs="Arial"/>
          <w:kern w:val="0"/>
          <w:sz w:val="21"/>
          <w:szCs w:val="21"/>
        </w:rPr>
      </w:pPr>
      <w:r>
        <w:rPr>
          <w:rFonts w:ascii="宋体" w:hAnsi="宋体" w:cs="Arial"/>
          <w:kern w:val="0"/>
          <w:sz w:val="21"/>
          <w:szCs w:val="21"/>
        </w:rPr>
        <w:t>评标委员会根据全体评标成员签名的原始评标记录和评标结果编写评标报告。</w:t>
      </w:r>
      <w:r>
        <w:rPr>
          <w:rFonts w:hint="eastAsia" w:ascii="宋体" w:hAnsi="宋体" w:cs="Arial"/>
          <w:kern w:val="0"/>
          <w:sz w:val="21"/>
          <w:szCs w:val="21"/>
        </w:rPr>
        <w:t>评标委员会成员对需要共同认定的事项存在争议的，应当按照少数服从多数的原则作出结论。持不同意见的评标委员会成员应当在评标报告上签署不同意见及理由，否则视为同意评标报告。</w:t>
      </w:r>
      <w:bookmarkEnd w:id="44"/>
    </w:p>
    <w:p>
      <w:pPr>
        <w:widowControl/>
        <w:adjustRightInd w:val="0"/>
        <w:snapToGrid w:val="0"/>
        <w:spacing w:line="288" w:lineRule="auto"/>
        <w:jc w:val="left"/>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七、中标与合同</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（一）中标</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1.采购代理机构自评标结束之日起2个工作日内将评标报告送交采购人。采购人收到评标报告之日起</w:t>
      </w:r>
      <w:r>
        <w:rPr>
          <w:rFonts w:ascii="宋体" w:hAnsi="宋体"/>
          <w:spacing w:val="-6"/>
          <w:sz w:val="21"/>
          <w:szCs w:val="21"/>
        </w:rPr>
        <w:t>5</w:t>
      </w:r>
      <w:r>
        <w:rPr>
          <w:rFonts w:hint="eastAsia" w:ascii="宋体" w:hAnsi="宋体"/>
          <w:spacing w:val="-6"/>
          <w:sz w:val="21"/>
          <w:szCs w:val="21"/>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2.采购代理机构自中标人确定之日起</w:t>
      </w:r>
      <w:r>
        <w:rPr>
          <w:rFonts w:ascii="宋体" w:hAnsi="宋体"/>
          <w:spacing w:val="-6"/>
          <w:sz w:val="21"/>
          <w:szCs w:val="21"/>
        </w:rPr>
        <w:t>2</w:t>
      </w:r>
      <w:r>
        <w:rPr>
          <w:rFonts w:hint="eastAsia" w:ascii="宋体" w:hAnsi="宋体"/>
          <w:spacing w:val="-6"/>
          <w:sz w:val="21"/>
          <w:szCs w:val="21"/>
        </w:rPr>
        <w:t>个工作日内，公告中标结果，并发出中标通知书。招标文件随中标结果同时公告。</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z w:val="21"/>
          <w:szCs w:val="21"/>
        </w:rPr>
        <w:t>评标结果公示媒体：中国政府采购网（http://www.ccgp.gov.cn）、浙江大学采购网（http://www.zupc.zju.edu.cn/cms/e?page=cms.index）。</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（二）合同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jc w:val="center"/>
        <w:outlineLvl w:val="1"/>
        <w:rPr>
          <w:rFonts w:ascii="宋体" w:hAnsi="宋体"/>
          <w:b/>
          <w:spacing w:val="-6"/>
          <w:sz w:val="21"/>
          <w:szCs w:val="21"/>
        </w:rPr>
      </w:pPr>
      <w:r>
        <w:rPr>
          <w:rFonts w:hint="eastAsia" w:ascii="宋体" w:hAnsi="宋体"/>
          <w:b/>
          <w:spacing w:val="-6"/>
          <w:sz w:val="21"/>
          <w:szCs w:val="21"/>
        </w:rPr>
        <w:t>八、</w:t>
      </w:r>
      <w:r>
        <w:rPr>
          <w:rFonts w:ascii="宋体" w:hAnsi="宋体"/>
          <w:b/>
          <w:spacing w:val="-6"/>
          <w:sz w:val="21"/>
          <w:szCs w:val="21"/>
        </w:rPr>
        <w:t>验</w:t>
      </w:r>
      <w:r>
        <w:rPr>
          <w:rFonts w:hint="eastAsia" w:ascii="宋体" w:hAnsi="宋体"/>
          <w:b/>
          <w:spacing w:val="-6"/>
          <w:sz w:val="21"/>
          <w:szCs w:val="21"/>
        </w:rPr>
        <w:t xml:space="preserve"> </w:t>
      </w:r>
      <w:r>
        <w:rPr>
          <w:rFonts w:ascii="宋体" w:hAnsi="宋体"/>
          <w:b/>
          <w:spacing w:val="-6"/>
          <w:sz w:val="21"/>
          <w:szCs w:val="21"/>
        </w:rPr>
        <w:t xml:space="preserve"> 收</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采购人可以邀请参加本项目的其他投标人或者第三方机构参与验收。参与验收的投标人或者第三方机构的意见作为</w:t>
      </w:r>
      <w:r>
        <w:rPr>
          <w:rFonts w:hint="eastAsia" w:ascii="宋体" w:hAnsi="宋体" w:cs="Helvetica"/>
          <w:kern w:val="0"/>
          <w:sz w:val="21"/>
          <w:szCs w:val="21"/>
        </w:rPr>
        <w:t>验收书的参考资料一并存档。</w:t>
      </w:r>
    </w:p>
    <w:p>
      <w:pPr>
        <w:tabs>
          <w:tab w:val="left" w:pos="0"/>
        </w:tabs>
        <w:adjustRightInd w:val="0"/>
        <w:snapToGrid w:val="0"/>
        <w:spacing w:line="288" w:lineRule="auto"/>
        <w:ind w:firstLine="422" w:firstLineChars="201"/>
        <w:rPr>
          <w:rFonts w:ascii="宋体" w:hAnsi="宋体" w:cs="Helvetica"/>
          <w:kern w:val="0"/>
          <w:sz w:val="21"/>
          <w:szCs w:val="21"/>
        </w:rPr>
      </w:pPr>
      <w:r>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b/>
          <w:spacing w:val="-6"/>
          <w:sz w:val="21"/>
          <w:szCs w:val="21"/>
        </w:rPr>
      </w:pPr>
      <w:r>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ind w:firstLine="425" w:firstLineChars="214"/>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评标方法及评分标准</w:t>
      </w:r>
    </w:p>
    <w:p>
      <w:pPr>
        <w:adjustRightInd w:val="0"/>
        <w:snapToGrid w:val="0"/>
        <w:spacing w:line="288" w:lineRule="auto"/>
        <w:outlineLvl w:val="1"/>
        <w:rPr>
          <w:rFonts w:ascii="宋体" w:hAnsi="宋体"/>
          <w:b/>
          <w:spacing w:val="-6"/>
          <w:sz w:val="21"/>
          <w:szCs w:val="21"/>
        </w:rPr>
      </w:pPr>
      <w:r>
        <w:rPr>
          <w:rFonts w:hint="eastAsia" w:ascii="宋体" w:hAnsi="宋体"/>
          <w:b/>
          <w:spacing w:val="-6"/>
          <w:sz w:val="21"/>
          <w:szCs w:val="21"/>
        </w:rPr>
        <w:t>一、评标方法</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adjustRightInd w:val="0"/>
        <w:snapToGrid w:val="0"/>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adjustRightInd w:val="0"/>
        <w:snapToGrid w:val="0"/>
        <w:spacing w:line="288" w:lineRule="auto"/>
        <w:outlineLvl w:val="1"/>
        <w:rPr>
          <w:rFonts w:ascii="宋体" w:hAnsi="宋体"/>
          <w:b/>
          <w:spacing w:val="-6"/>
          <w:sz w:val="21"/>
          <w:szCs w:val="21"/>
        </w:rPr>
      </w:pPr>
      <w:r>
        <w:rPr>
          <w:rFonts w:hint="eastAsia" w:ascii="宋体" w:hAnsi="宋体"/>
          <w:b/>
          <w:spacing w:val="-6"/>
          <w:sz w:val="21"/>
          <w:szCs w:val="21"/>
        </w:rPr>
        <w:t>二、评标标准</w:t>
      </w:r>
    </w:p>
    <w:tbl>
      <w:tblPr>
        <w:tblStyle w:val="2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bookmarkStart w:id="45" w:name="_Hlk45091761"/>
            <w:r>
              <w:rPr>
                <w:rFonts w:hint="eastAsia" w:ascii="宋体" w:hAnsi="宋体"/>
                <w:b/>
                <w:bCs/>
                <w:sz w:val="21"/>
                <w:szCs w:val="21"/>
              </w:rPr>
              <w:t>评审因素</w:t>
            </w:r>
          </w:p>
        </w:tc>
        <w:tc>
          <w:tcPr>
            <w:tcW w:w="654"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分值</w:t>
            </w:r>
          </w:p>
        </w:tc>
        <w:tc>
          <w:tcPr>
            <w:tcW w:w="7213" w:type="dxa"/>
            <w:vAlign w:val="center"/>
          </w:tcPr>
          <w:p>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hint="eastAsia" w:ascii="宋体" w:hAnsi="宋体"/>
                <w:b/>
                <w:bCs/>
                <w:sz w:val="21"/>
                <w:szCs w:val="21"/>
              </w:rPr>
              <w:t>分（3</w:t>
            </w:r>
            <w:r>
              <w:rPr>
                <w:rFonts w:ascii="宋体" w:hAnsi="宋体"/>
                <w:b/>
                <w:bCs/>
                <w:sz w:val="21"/>
                <w:szCs w:val="21"/>
              </w:rPr>
              <w:t>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30</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cs="宋体"/>
                <w:sz w:val="21"/>
                <w:szCs w:val="21"/>
              </w:rPr>
            </w:pPr>
            <w:r>
              <w:rPr>
                <w:rFonts w:hint="eastAsia" w:ascii="宋体" w:hAnsi="宋体" w:cs="宋体"/>
                <w:sz w:val="21"/>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hint="eastAsia" w:ascii="宋体" w:hAnsi="宋体"/>
                <w:b/>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业绩</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3</w:t>
            </w:r>
          </w:p>
        </w:tc>
        <w:tc>
          <w:tcPr>
            <w:tcW w:w="7213" w:type="dxa"/>
            <w:vAlign w:val="center"/>
          </w:tcPr>
          <w:p>
            <w:pPr>
              <w:adjustRightInd w:val="0"/>
              <w:snapToGrid w:val="0"/>
              <w:spacing w:line="288" w:lineRule="auto"/>
              <w:rPr>
                <w:kern w:val="0"/>
                <w:sz w:val="21"/>
                <w:szCs w:val="21"/>
              </w:rPr>
            </w:pPr>
            <w:r>
              <w:rPr>
                <w:rFonts w:hint="eastAsia"/>
                <w:kern w:val="0"/>
                <w:sz w:val="21"/>
                <w:szCs w:val="21"/>
              </w:rPr>
              <w:t>【客观分】</w:t>
            </w:r>
          </w:p>
          <w:p>
            <w:pPr>
              <w:adjustRightInd w:val="0"/>
              <w:snapToGrid w:val="0"/>
              <w:spacing w:line="288" w:lineRule="auto"/>
              <w:rPr>
                <w:rFonts w:ascii="宋体" w:hAnsi="宋体" w:cs="宋体"/>
                <w:sz w:val="21"/>
                <w:szCs w:val="21"/>
              </w:rPr>
            </w:pPr>
            <w:r>
              <w:rPr>
                <w:rFonts w:hint="eastAsia" w:ascii="宋体" w:hAnsi="宋体" w:cs="宋体"/>
                <w:sz w:val="21"/>
                <w:szCs w:val="21"/>
              </w:rPr>
              <w:t>投标人自201</w:t>
            </w:r>
            <w:r>
              <w:rPr>
                <w:rFonts w:ascii="宋体" w:hAnsi="宋体" w:cs="宋体"/>
                <w:sz w:val="21"/>
                <w:szCs w:val="21"/>
              </w:rPr>
              <w:t>9</w:t>
            </w:r>
            <w:r>
              <w:rPr>
                <w:rFonts w:hint="eastAsia" w:ascii="宋体" w:hAnsi="宋体" w:cs="宋体"/>
                <w:sz w:val="21"/>
                <w:szCs w:val="21"/>
              </w:rPr>
              <w:t>年1月1日以来（以合同签订时间为准）同类合同业绩（以提供的合同复印件为准）：每提供1份合同业绩得</w:t>
            </w:r>
            <w:r>
              <w:rPr>
                <w:rFonts w:ascii="宋体" w:hAnsi="宋体" w:cs="宋体"/>
                <w:sz w:val="21"/>
                <w:szCs w:val="21"/>
              </w:rPr>
              <w:t>1</w:t>
            </w:r>
            <w:r>
              <w:rPr>
                <w:rFonts w:hint="eastAsia" w:ascii="宋体" w:hAnsi="宋体" w:cs="宋体"/>
                <w:sz w:val="21"/>
                <w:szCs w:val="21"/>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34" w:type="dxa"/>
            <w:gridSpan w:val="3"/>
            <w:vAlign w:val="center"/>
          </w:tcPr>
          <w:p>
            <w:pPr>
              <w:adjustRightInd w:val="0"/>
              <w:snapToGrid w:val="0"/>
              <w:spacing w:line="288" w:lineRule="auto"/>
              <w:jc w:val="left"/>
              <w:rPr>
                <w:rFonts w:ascii="宋体" w:hAnsi="宋体"/>
                <w:b/>
                <w:bCs/>
                <w:sz w:val="21"/>
                <w:szCs w:val="21"/>
              </w:rPr>
            </w:pPr>
            <w:r>
              <w:rPr>
                <w:rFonts w:hint="eastAsia" w:ascii="宋体" w:hAnsi="宋体"/>
                <w:b/>
                <w:bCs/>
                <w:sz w:val="21"/>
                <w:szCs w:val="21"/>
              </w:rPr>
              <w:t>技术</w:t>
            </w:r>
            <w:r>
              <w:rPr>
                <w:rFonts w:ascii="宋体" w:hAnsi="宋体"/>
                <w:b/>
                <w:bCs/>
                <w:sz w:val="21"/>
                <w:szCs w:val="21"/>
              </w:rPr>
              <w:t>分</w:t>
            </w:r>
            <w:r>
              <w:rPr>
                <w:rFonts w:hint="eastAsia" w:ascii="宋体" w:hAnsi="宋体"/>
                <w:b/>
                <w:bCs/>
                <w:sz w:val="21"/>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技术响应程度</w:t>
            </w:r>
          </w:p>
        </w:tc>
        <w:tc>
          <w:tcPr>
            <w:tcW w:w="654" w:type="dxa"/>
            <w:vAlign w:val="center"/>
          </w:tcPr>
          <w:p>
            <w:pPr>
              <w:adjustRightInd w:val="0"/>
              <w:snapToGrid w:val="0"/>
              <w:spacing w:line="288" w:lineRule="auto"/>
              <w:jc w:val="center"/>
              <w:rPr>
                <w:rFonts w:hint="eastAsia" w:ascii="宋体" w:hAnsi="宋体" w:eastAsia="宋体" w:cs="宋体"/>
                <w:b/>
                <w:bCs/>
                <w:sz w:val="21"/>
                <w:szCs w:val="21"/>
                <w:highlight w:val="none"/>
                <w:lang w:eastAsia="zh-CN"/>
              </w:rPr>
            </w:pPr>
            <w:r>
              <w:rPr>
                <w:rFonts w:ascii="宋体" w:hAnsi="宋体" w:cs="宋体"/>
                <w:b/>
                <w:bCs/>
                <w:sz w:val="21"/>
                <w:szCs w:val="21"/>
                <w:highlight w:val="none"/>
              </w:rPr>
              <w:t>3</w:t>
            </w:r>
            <w:r>
              <w:rPr>
                <w:rFonts w:hint="eastAsia" w:ascii="宋体" w:hAnsi="宋体" w:cs="宋体"/>
                <w:b/>
                <w:bCs/>
                <w:sz w:val="21"/>
                <w:szCs w:val="21"/>
                <w:highlight w:val="none"/>
                <w:lang w:val="en-US" w:eastAsia="zh-CN"/>
              </w:rPr>
              <w:t>5</w:t>
            </w:r>
          </w:p>
        </w:tc>
        <w:tc>
          <w:tcPr>
            <w:tcW w:w="7213" w:type="dxa"/>
            <w:vAlign w:val="center"/>
          </w:tcPr>
          <w:p>
            <w:pPr>
              <w:adjustRightInd w:val="0"/>
              <w:snapToGrid w:val="0"/>
              <w:spacing w:line="288" w:lineRule="auto"/>
              <w:rPr>
                <w:kern w:val="0"/>
                <w:sz w:val="21"/>
                <w:szCs w:val="21"/>
                <w:highlight w:val="none"/>
              </w:rPr>
            </w:pPr>
            <w:r>
              <w:rPr>
                <w:rFonts w:hint="eastAsia"/>
                <w:kern w:val="0"/>
                <w:sz w:val="21"/>
                <w:szCs w:val="21"/>
                <w:highlight w:val="none"/>
              </w:rPr>
              <w:t>【客观分】</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不符合（负偏离）技术要求中标注“▲”条款（不可偏离）的投标无效；</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rPr>
              <w:t>满足招标文件明确的全部技术条款要求的该项得满分；</w:t>
            </w:r>
          </w:p>
          <w:p>
            <w:pPr>
              <w:adjustRightInd w:val="0"/>
              <w:snapToGrid w:val="0"/>
              <w:spacing w:line="288" w:lineRule="auto"/>
              <w:rPr>
                <w:rFonts w:ascii="宋体" w:hAnsi="宋体" w:cs="宋体"/>
                <w:sz w:val="21"/>
                <w:szCs w:val="21"/>
                <w:highlight w:val="none"/>
              </w:rPr>
            </w:pPr>
            <w:r>
              <w:rPr>
                <w:rFonts w:hint="eastAsia" w:ascii="宋体" w:hAnsi="宋体"/>
                <w:sz w:val="21"/>
                <w:szCs w:val="21"/>
                <w:highlight w:val="none"/>
              </w:rPr>
              <w:t>标“★”技术条款低于技术要求（负偏离）的每项扣</w:t>
            </w:r>
            <w:r>
              <w:rPr>
                <w:rFonts w:hint="eastAsia" w:ascii="宋体" w:hAnsi="宋体"/>
                <w:sz w:val="21"/>
                <w:szCs w:val="21"/>
                <w:highlight w:val="none"/>
                <w:lang w:val="en-US" w:eastAsia="zh-CN"/>
              </w:rPr>
              <w:t>3</w:t>
            </w:r>
            <w:r>
              <w:rPr>
                <w:rFonts w:hint="eastAsia" w:ascii="宋体" w:hAnsi="宋体"/>
                <w:sz w:val="21"/>
                <w:szCs w:val="21"/>
                <w:highlight w:val="none"/>
              </w:rPr>
              <w:t>分，其余技术条款低于技术要求（负偏离）的每项扣</w:t>
            </w:r>
            <w:r>
              <w:rPr>
                <w:rFonts w:hint="eastAsia" w:ascii="宋体" w:hAnsi="宋体"/>
                <w:sz w:val="21"/>
                <w:szCs w:val="21"/>
                <w:highlight w:val="none"/>
                <w:lang w:val="en-US" w:eastAsia="zh-CN"/>
              </w:rPr>
              <w:t>1</w:t>
            </w:r>
            <w:r>
              <w:rPr>
                <w:rFonts w:hint="eastAsia" w:ascii="宋体" w:hAnsi="宋体"/>
                <w:sz w:val="21"/>
                <w:szCs w:val="21"/>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人员要求</w:t>
            </w:r>
          </w:p>
        </w:tc>
        <w:tc>
          <w:tcPr>
            <w:tcW w:w="654" w:type="dxa"/>
            <w:vAlign w:val="center"/>
          </w:tcPr>
          <w:p>
            <w:pPr>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4</w:t>
            </w:r>
          </w:p>
        </w:tc>
        <w:tc>
          <w:tcPr>
            <w:tcW w:w="7213" w:type="dxa"/>
            <w:vAlign w:val="center"/>
          </w:tcPr>
          <w:p>
            <w:pPr>
              <w:adjustRightInd w:val="0"/>
              <w:snapToGrid w:val="0"/>
              <w:spacing w:line="288" w:lineRule="auto"/>
              <w:rPr>
                <w:kern w:val="0"/>
                <w:sz w:val="21"/>
                <w:szCs w:val="21"/>
                <w:highlight w:val="none"/>
              </w:rPr>
            </w:pPr>
            <w:r>
              <w:rPr>
                <w:rFonts w:hint="eastAsia"/>
                <w:kern w:val="0"/>
                <w:sz w:val="21"/>
                <w:szCs w:val="21"/>
                <w:highlight w:val="none"/>
              </w:rPr>
              <w:t>【客观分】</w:t>
            </w:r>
          </w:p>
          <w:p>
            <w:pPr>
              <w:adjustRightInd w:val="0"/>
              <w:snapToGrid w:val="0"/>
              <w:spacing w:line="288" w:lineRule="auto"/>
              <w:rPr>
                <w:rFonts w:hint="eastAsia" w:ascii="宋体" w:hAnsi="宋体"/>
                <w:sz w:val="21"/>
                <w:szCs w:val="21"/>
                <w:highlight w:val="none"/>
              </w:rPr>
            </w:pPr>
            <w:r>
              <w:rPr>
                <w:rFonts w:hint="eastAsia" w:ascii="宋体" w:hAnsi="宋体" w:cs="宋体"/>
                <w:sz w:val="21"/>
                <w:szCs w:val="21"/>
                <w:highlight w:val="none"/>
              </w:rPr>
              <w:t>投标产品制造商项目经理具备信息系统项目管理类证书、内部控制师类证书、信息安全等级保护测评类证书、信息安全类专业人员认证证书，</w:t>
            </w:r>
            <w:r>
              <w:rPr>
                <w:rFonts w:hint="eastAsia" w:ascii="宋体" w:hAnsi="宋体" w:cs="宋体"/>
                <w:sz w:val="21"/>
                <w:szCs w:val="21"/>
                <w:highlight w:val="none"/>
                <w:lang w:val="zh-TW"/>
              </w:rPr>
              <w:t>提供相关证书复印件及近三个月内参保证明，每提供一项得</w:t>
            </w:r>
            <w:r>
              <w:rPr>
                <w:rFonts w:hint="eastAsia" w:ascii="宋体" w:hAnsi="宋体" w:cs="宋体"/>
                <w:sz w:val="21"/>
                <w:szCs w:val="21"/>
                <w:highlight w:val="none"/>
                <w:lang w:val="zh-TW" w:eastAsia="zh-TW"/>
              </w:rPr>
              <w:t>1</w:t>
            </w:r>
            <w:r>
              <w:rPr>
                <w:rFonts w:hint="eastAsia" w:ascii="宋体" w:hAnsi="宋体" w:cs="宋体"/>
                <w:sz w:val="21"/>
                <w:szCs w:val="21"/>
                <w:highlight w:val="none"/>
                <w:lang w:val="zh-TW"/>
              </w:rPr>
              <w:t>分，最高</w:t>
            </w:r>
            <w:r>
              <w:rPr>
                <w:rFonts w:hint="eastAsia" w:ascii="宋体" w:hAnsi="宋体" w:cs="宋体"/>
                <w:sz w:val="21"/>
                <w:szCs w:val="21"/>
                <w:highlight w:val="none"/>
                <w:lang w:val="zh-TW" w:eastAsia="zh-TW"/>
              </w:rPr>
              <w:t>4</w:t>
            </w:r>
            <w:r>
              <w:rPr>
                <w:rFonts w:hint="eastAsia" w:ascii="宋体" w:hAnsi="宋体" w:cs="宋体"/>
                <w:sz w:val="21"/>
                <w:szCs w:val="21"/>
                <w:highlight w:val="none"/>
                <w:lang w:val="zh-TW"/>
              </w:rPr>
              <w:t>分。</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lang w:val="zh-TW" w:eastAsia="zh-TW"/>
              </w:rPr>
              <w:t>技术方案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kern w:val="0"/>
                <w:sz w:val="21"/>
                <w:szCs w:val="21"/>
                <w:highlight w:val="none"/>
              </w:rPr>
            </w:pPr>
            <w:r>
              <w:rPr>
                <w:rFonts w:hint="eastAsia"/>
                <w:kern w:val="0"/>
                <w:sz w:val="21"/>
                <w:szCs w:val="21"/>
                <w:highlight w:val="none"/>
              </w:rPr>
              <w:t>【主观分】</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lang w:val="zh-TW"/>
              </w:rPr>
              <w:t xml:space="preserve">技术方案与需求的吻合程度；方案设计的功能实现以及方案配置等方面与项目对应需求的满足程度等。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lang w:val="zh-TW" w:eastAsia="zh-TW"/>
              </w:rPr>
              <w:t>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kern w:val="0"/>
                <w:sz w:val="21"/>
                <w:szCs w:val="21"/>
                <w:highlight w:val="none"/>
              </w:rPr>
            </w:pPr>
            <w:r>
              <w:rPr>
                <w:rFonts w:hint="eastAsia"/>
                <w:kern w:val="0"/>
                <w:sz w:val="21"/>
                <w:szCs w:val="21"/>
                <w:highlight w:val="none"/>
              </w:rPr>
              <w:t>【主观分】</w:t>
            </w:r>
          </w:p>
          <w:p>
            <w:pPr>
              <w:adjustRightInd w:val="0"/>
              <w:snapToGrid w:val="0"/>
              <w:spacing w:line="288" w:lineRule="auto"/>
              <w:rPr>
                <w:rFonts w:ascii="宋体" w:hAnsi="宋体" w:cs="宋体"/>
                <w:sz w:val="21"/>
                <w:szCs w:val="21"/>
                <w:highlight w:val="none"/>
              </w:rPr>
            </w:pPr>
            <w:r>
              <w:rPr>
                <w:rFonts w:hint="eastAsia" w:ascii="宋体" w:hAnsi="宋体" w:cs="宋体"/>
                <w:sz w:val="21"/>
                <w:szCs w:val="21"/>
                <w:highlight w:val="none"/>
                <w:lang w:val="zh-TW"/>
              </w:rPr>
              <w:t>项目管理和实施方案、检测验收方案及项目进度的管控情况等。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lang w:val="zh-TW" w:eastAsia="zh-TW"/>
              </w:rPr>
            </w:pPr>
            <w:r>
              <w:rPr>
                <w:rFonts w:hint="eastAsia" w:ascii="宋体" w:hAnsi="宋体" w:cs="宋体"/>
                <w:b/>
                <w:bCs/>
                <w:sz w:val="21"/>
                <w:szCs w:val="21"/>
                <w:highlight w:val="none"/>
                <w:lang w:val="zh-TW" w:eastAsia="zh-TW"/>
              </w:rPr>
              <w:t>应急保障方案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rPr>
              <w:t>5</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kern w:val="0"/>
                <w:sz w:val="21"/>
                <w:szCs w:val="21"/>
                <w:highlight w:val="none"/>
              </w:rPr>
            </w:pPr>
            <w:r>
              <w:rPr>
                <w:rFonts w:hint="eastAsia"/>
                <w:kern w:val="0"/>
                <w:sz w:val="21"/>
                <w:szCs w:val="21"/>
                <w:highlight w:val="none"/>
              </w:rPr>
              <w:t>【主观分】</w:t>
            </w:r>
          </w:p>
          <w:p>
            <w:pPr>
              <w:adjustRightInd w:val="0"/>
              <w:snapToGrid w:val="0"/>
              <w:spacing w:line="288" w:lineRule="auto"/>
              <w:rPr>
                <w:kern w:val="0"/>
                <w:sz w:val="21"/>
                <w:szCs w:val="21"/>
                <w:highlight w:val="none"/>
              </w:rPr>
            </w:pPr>
            <w:r>
              <w:rPr>
                <w:rFonts w:hint="eastAsia"/>
                <w:kern w:val="0"/>
                <w:sz w:val="21"/>
                <w:szCs w:val="21"/>
                <w:highlight w:val="none"/>
              </w:rPr>
              <w:t>应急保障方案，提供针对本项目的应急保障方案。根据方案与项目需求的吻合程度、保障效果</w:t>
            </w:r>
            <w:r>
              <w:rPr>
                <w:rFonts w:hint="eastAsia"/>
                <w:kern w:val="0"/>
                <w:sz w:val="21"/>
                <w:szCs w:val="21"/>
                <w:highlight w:val="none"/>
                <w:lang w:val="en-US" w:eastAsia="zh-CN"/>
              </w:rPr>
              <w:t>等</w:t>
            </w:r>
            <w:r>
              <w:rPr>
                <w:rFonts w:hint="eastAsia"/>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lang w:val="zh-TW" w:eastAsia="zh-TW"/>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ascii="宋体" w:hAnsi="宋体" w:cs="宋体"/>
                <w:b/>
                <w:bCs/>
                <w:sz w:val="21"/>
                <w:szCs w:val="21"/>
                <w:highlight w:val="none"/>
              </w:rPr>
              <w:t>5</w:t>
            </w:r>
          </w:p>
        </w:tc>
        <w:tc>
          <w:tcPr>
            <w:tcW w:w="721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sz w:val="21"/>
                <w:szCs w:val="21"/>
                <w:highlight w:val="none"/>
              </w:rPr>
            </w:pPr>
            <w:r>
              <w:rPr>
                <w:rFonts w:hint="eastAsia"/>
                <w:kern w:val="0"/>
                <w:sz w:val="21"/>
                <w:szCs w:val="21"/>
                <w:highlight w:val="none"/>
              </w:rPr>
              <w:t>【主观分】</w:t>
            </w:r>
            <w:r>
              <w:rPr>
                <w:rFonts w:hint="eastAsia" w:ascii="宋体" w:hAnsi="宋体" w:cs="宋体"/>
                <w:sz w:val="21"/>
                <w:szCs w:val="21"/>
                <w:highlight w:val="none"/>
              </w:rPr>
              <w:t>投标人</w:t>
            </w:r>
            <w:r>
              <w:rPr>
                <w:rFonts w:hint="eastAsia" w:ascii="宋体" w:hAnsi="宋体" w:cs="宋体"/>
                <w:sz w:val="21"/>
                <w:szCs w:val="21"/>
                <w:highlight w:val="none"/>
                <w:lang w:val="zh-TW" w:eastAsia="zh-TW"/>
              </w:rPr>
              <w:t>售后服务方案、承诺的售后相应时间、故障修复时间等。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lang w:val="zh-TW" w:eastAsia="zh-TW"/>
              </w:rPr>
              <w:t>培训方案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ascii="宋体" w:hAnsi="宋体" w:cs="宋体"/>
                <w:b/>
                <w:bCs/>
                <w:sz w:val="21"/>
                <w:szCs w:val="21"/>
                <w:highlight w:val="none"/>
              </w:rPr>
              <w:t>5</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none"/>
              </w:rPr>
            </w:pPr>
            <w:r>
              <w:rPr>
                <w:rFonts w:hint="eastAsia"/>
                <w:kern w:val="0"/>
                <w:sz w:val="21"/>
                <w:szCs w:val="21"/>
                <w:highlight w:val="none"/>
              </w:rPr>
              <w:t>【主观分】</w:t>
            </w:r>
            <w:r>
              <w:rPr>
                <w:rFonts w:hint="eastAsia" w:ascii="宋体" w:hAnsi="宋体" w:cs="宋体"/>
                <w:sz w:val="21"/>
                <w:szCs w:val="21"/>
                <w:highlight w:val="none"/>
                <w:lang w:val="zh-TW" w:eastAsia="zh-TW"/>
              </w:rPr>
              <w:t>培训方案的合理性、完整性、针对性</w:t>
            </w:r>
            <w:r>
              <w:rPr>
                <w:rFonts w:hint="eastAsia" w:ascii="宋体" w:hAnsi="宋体" w:cs="宋体"/>
                <w:sz w:val="21"/>
                <w:szCs w:val="21"/>
                <w:highlight w:val="none"/>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highlight w:val="none"/>
              </w:rPr>
            </w:pPr>
            <w:r>
              <w:rPr>
                <w:rFonts w:hint="eastAsia" w:ascii="宋体" w:hAnsi="宋体" w:cs="宋体"/>
                <w:b/>
                <w:bCs/>
                <w:sz w:val="21"/>
                <w:szCs w:val="21"/>
                <w:highlight w:val="none"/>
                <w:lang w:val="zh-TW" w:eastAsia="zh-TW"/>
              </w:rPr>
              <w:t>备品备件</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lang w:val="en-US" w:eastAsia="zh-CN"/>
              </w:rPr>
              <w:t>3</w:t>
            </w:r>
          </w:p>
        </w:tc>
        <w:tc>
          <w:tcPr>
            <w:tcW w:w="7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highlight w:val="none"/>
              </w:rPr>
            </w:pPr>
            <w:r>
              <w:rPr>
                <w:rFonts w:hint="eastAsia"/>
                <w:kern w:val="0"/>
                <w:sz w:val="21"/>
                <w:szCs w:val="21"/>
                <w:highlight w:val="none"/>
              </w:rPr>
              <w:t>【主观分】</w:t>
            </w:r>
            <w:r>
              <w:rPr>
                <w:rFonts w:hint="eastAsia" w:ascii="宋体" w:hAnsi="宋体" w:cs="宋体"/>
                <w:sz w:val="21"/>
                <w:szCs w:val="21"/>
                <w:highlight w:val="none"/>
                <w:lang w:val="zh-TW" w:eastAsia="zh-TW"/>
              </w:rPr>
              <w:t>备品备件仓库所在地，数量、存储方式</w:t>
            </w:r>
            <w:r>
              <w:rPr>
                <w:rFonts w:hint="eastAsia" w:ascii="宋体" w:hAnsi="宋体" w:cs="宋体"/>
                <w:sz w:val="21"/>
                <w:szCs w:val="21"/>
                <w:highlight w:val="none"/>
                <w:lang w:val="zh-TW"/>
              </w:rPr>
              <w:t>等</w:t>
            </w:r>
            <w:r>
              <w:rPr>
                <w:rFonts w:hint="eastAsia" w:ascii="宋体" w:hAnsi="宋体" w:cs="宋体"/>
                <w:sz w:val="21"/>
                <w:szCs w:val="21"/>
                <w:highlight w:val="none"/>
              </w:rPr>
              <w:t>。</w:t>
            </w:r>
          </w:p>
        </w:tc>
      </w:tr>
    </w:tbl>
    <w:p>
      <w:pPr>
        <w:adjustRightInd w:val="0"/>
        <w:snapToGrid w:val="0"/>
        <w:spacing w:line="288"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adjustRightInd w:val="0"/>
        <w:snapToGrid w:val="0"/>
        <w:spacing w:line="288" w:lineRule="auto"/>
        <w:jc w:val="left"/>
        <w:rPr>
          <w:rFonts w:ascii="宋体" w:hAnsi="宋体"/>
          <w:b/>
          <w:sz w:val="21"/>
          <w:szCs w:val="21"/>
        </w:rPr>
      </w:pPr>
      <w:r>
        <w:rPr>
          <w:rFonts w:ascii="宋体" w:hAnsi="宋体"/>
          <w:b/>
          <w:sz w:val="21"/>
          <w:szCs w:val="21"/>
        </w:rPr>
        <w:t>1.</w:t>
      </w:r>
      <w:r>
        <w:rPr>
          <w:rFonts w:hint="eastAsia" w:ascii="宋体" w:hAnsi="宋体"/>
          <w:b/>
          <w:sz w:val="21"/>
          <w:szCs w:val="21"/>
        </w:rPr>
        <w:t>根据《政府采购促进中小企业发展管理办法》（财库〔2020〕46号）、《关于进一步加大政府采购支持中小企业力度的通知》（财库〔</w:t>
      </w:r>
      <w:r>
        <w:rPr>
          <w:rFonts w:ascii="宋体" w:hAnsi="宋体"/>
          <w:b/>
          <w:sz w:val="21"/>
          <w:szCs w:val="21"/>
        </w:rPr>
        <w:t>2022〕19号）、</w:t>
      </w:r>
      <w:r>
        <w:rPr>
          <w:rFonts w:hint="eastAsia" w:ascii="宋体" w:hAnsi="宋体"/>
          <w:b/>
          <w:sz w:val="21"/>
          <w:szCs w:val="21"/>
        </w:rPr>
        <w:t>的规定：对符合规定的小微企业报价给予1</w:t>
      </w:r>
      <w:r>
        <w:rPr>
          <w:rFonts w:ascii="宋体" w:hAnsi="宋体"/>
          <w:b/>
          <w:sz w:val="21"/>
          <w:szCs w:val="21"/>
        </w:rPr>
        <w:t>0</w:t>
      </w:r>
      <w:r>
        <w:rPr>
          <w:rFonts w:hint="eastAsia" w:ascii="宋体" w:hAnsi="宋体"/>
          <w:b/>
          <w:sz w:val="21"/>
          <w:szCs w:val="21"/>
        </w:rPr>
        <w:t>%的扣除后计算价格得分。</w:t>
      </w:r>
    </w:p>
    <w:p>
      <w:pPr>
        <w:adjustRightInd w:val="0"/>
        <w:snapToGrid w:val="0"/>
        <w:spacing w:line="288" w:lineRule="auto"/>
        <w:rPr>
          <w:rFonts w:ascii="宋体" w:hAnsi="宋体"/>
          <w:b/>
          <w:bCs/>
          <w:spacing w:val="-6"/>
          <w:sz w:val="21"/>
          <w:szCs w:val="21"/>
        </w:rPr>
      </w:pPr>
      <w:bookmarkStart w:id="46" w:name="_Hlk81817373"/>
      <w:bookmarkStart w:id="47" w:name="_Hlk81817387"/>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w:t>
      </w:r>
      <w:r>
        <w:rPr>
          <w:rFonts w:hint="eastAsia" w:ascii="宋体" w:hAnsi="宋体" w:cs="宋体"/>
          <w:color w:val="000000"/>
          <w:kern w:val="0"/>
          <w:sz w:val="21"/>
          <w:szCs w:val="21"/>
        </w:rPr>
        <w:t>监狱企业参加政府采购活动时，提供由省级以上监狱管理局</w:t>
      </w:r>
      <w:r>
        <w:rPr>
          <w:rFonts w:hint="eastAsia" w:ascii="宋体" w:hAnsi="宋体" w:cs="宋体"/>
          <w:kern w:val="0"/>
          <w:sz w:val="21"/>
          <w:szCs w:val="21"/>
        </w:rPr>
        <w:t>、戒毒管理局（含新疆生产建设兵团）出具的属于监狱企业的证明文件的，在政府采购活动中，监狱企业视</w:t>
      </w:r>
      <w:r>
        <w:rPr>
          <w:rFonts w:hint="eastAsia" w:ascii="宋体" w:hAnsi="宋体" w:cs="宋体"/>
          <w:color w:val="000000"/>
          <w:kern w:val="0"/>
          <w:sz w:val="21"/>
          <w:szCs w:val="21"/>
        </w:rPr>
        <w:t>同小型、微型企业，享受预留份额、评审中价格扣除等政府采购促进中小企业发展的政府采购政策。</w:t>
      </w:r>
      <w:bookmarkEnd w:id="46"/>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w:t>
      </w:r>
      <w:r>
        <w:rPr>
          <w:rFonts w:hint="eastAsia" w:ascii="宋体" w:hAnsi="宋体"/>
          <w:color w:val="000000"/>
          <w:sz w:val="21"/>
          <w:szCs w:val="21"/>
        </w:rPr>
        <w:t>符合条件的残疾人福利性单位在参加政府采购活动时，</w:t>
      </w:r>
      <w:r>
        <w:rPr>
          <w:rFonts w:hint="eastAsia" w:ascii="宋体" w:hAnsi="宋体"/>
          <w:sz w:val="21"/>
          <w:szCs w:val="21"/>
        </w:rPr>
        <w:t>提供财库</w:t>
      </w:r>
      <w:r>
        <w:rPr>
          <w:rFonts w:ascii="宋体" w:hAnsi="宋体"/>
          <w:sz w:val="21"/>
          <w:szCs w:val="21"/>
        </w:rPr>
        <w:t>[2017]141号</w:t>
      </w:r>
      <w:r>
        <w:rPr>
          <w:rFonts w:hint="eastAsia" w:ascii="宋体" w:hAnsi="宋体"/>
          <w:sz w:val="21"/>
          <w:szCs w:val="21"/>
        </w:rPr>
        <w:t>文件</w:t>
      </w:r>
      <w:r>
        <w:rPr>
          <w:rFonts w:hint="eastAsia" w:ascii="宋体" w:hAnsi="宋体"/>
          <w:color w:val="000000"/>
          <w:sz w:val="21"/>
          <w:szCs w:val="21"/>
        </w:rPr>
        <w:t>规定的《残疾人福利性单位声明函》的，在政府采购活</w:t>
      </w:r>
      <w:r>
        <w:rPr>
          <w:rFonts w:hint="eastAsia" w:ascii="宋体" w:hAnsi="宋体"/>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47"/>
    </w:p>
    <w:p>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spacing w:line="288" w:lineRule="auto"/>
        <w:jc w:val="center"/>
        <w:rPr>
          <w:rFonts w:ascii="宋体" w:hAnsi="宋体"/>
          <w:spacing w:val="-6"/>
          <w:sz w:val="21"/>
          <w:szCs w:val="21"/>
        </w:rPr>
      </w:pPr>
      <w:r>
        <w:rPr>
          <w:rFonts w:hint="eastAsia" w:ascii="Calibri" w:hAnsi="Calibri"/>
          <w:b/>
          <w:bCs/>
          <w:spacing w:val="20"/>
          <w:szCs w:val="30"/>
        </w:rPr>
        <w:t>技术协议</w:t>
      </w:r>
      <w:r>
        <w:rPr>
          <w:rFonts w:hint="eastAsia" w:ascii="Calibri" w:hAnsi="Calibri"/>
          <w:spacing w:val="20"/>
          <w:sz w:val="24"/>
          <w:szCs w:val="28"/>
        </w:rPr>
        <w:t>（适用于国产设备）</w:t>
      </w:r>
    </w:p>
    <w:p>
      <w:pPr>
        <w:snapToGrid w:val="0"/>
        <w:spacing w:line="288" w:lineRule="auto"/>
        <w:rPr>
          <w:rFonts w:ascii="宋体" w:hAnsi="宋体" w:cs="宋体"/>
          <w:spacing w:val="-6"/>
          <w:sz w:val="21"/>
          <w:szCs w:val="21"/>
        </w:rPr>
      </w:pPr>
      <w:r>
        <w:rPr>
          <w:rFonts w:hint="eastAsia" w:ascii="宋体" w:hAnsi="宋体" w:cs="宋体"/>
          <w:spacing w:val="-6"/>
          <w:sz w:val="21"/>
          <w:szCs w:val="21"/>
        </w:rPr>
        <w:t>项目编号：</w:t>
      </w:r>
      <w:r>
        <w:rPr>
          <w:rFonts w:hint="eastAsia" w:ascii="宋体" w:hAnsi="宋体" w:cs="宋体"/>
          <w:spacing w:val="-6"/>
          <w:sz w:val="21"/>
          <w:szCs w:val="21"/>
        </w:rPr>
        <w:tab/>
      </w:r>
    </w:p>
    <w:p>
      <w:pPr>
        <w:snapToGrid w:val="0"/>
        <w:spacing w:line="288" w:lineRule="auto"/>
        <w:rPr>
          <w:rFonts w:ascii="宋体" w:hAnsi="宋体" w:cs="宋体"/>
          <w:spacing w:val="-6"/>
          <w:sz w:val="21"/>
          <w:szCs w:val="21"/>
        </w:rPr>
      </w:pPr>
      <w:r>
        <w:rPr>
          <w:rFonts w:hint="eastAsia" w:ascii="宋体" w:hAnsi="宋体" w:cs="宋体"/>
          <w:spacing w:val="-6"/>
          <w:sz w:val="21"/>
          <w:szCs w:val="21"/>
        </w:rPr>
        <w:t>项目名称：</w:t>
      </w:r>
      <w:r>
        <w:rPr>
          <w:rFonts w:hint="eastAsia" w:ascii="宋体" w:hAnsi="宋体" w:cs="宋体"/>
          <w:spacing w:val="-6"/>
          <w:sz w:val="21"/>
          <w:szCs w:val="21"/>
        </w:rPr>
        <w:tab/>
      </w:r>
      <w:r>
        <w:rPr>
          <w:rFonts w:hint="eastAsia" w:ascii="宋体" w:hAnsi="宋体" w:cs="宋体"/>
          <w:spacing w:val="-6"/>
          <w:sz w:val="21"/>
          <w:szCs w:val="21"/>
        </w:rPr>
        <w:t xml:space="preserve">                          </w:t>
      </w:r>
    </w:p>
    <w:p>
      <w:pPr>
        <w:snapToGrid w:val="0"/>
        <w:spacing w:line="288" w:lineRule="auto"/>
        <w:rPr>
          <w:rFonts w:ascii="宋体" w:hAnsi="宋体" w:cs="宋体"/>
          <w:spacing w:val="-6"/>
          <w:sz w:val="21"/>
          <w:szCs w:val="21"/>
        </w:rPr>
      </w:pPr>
      <w:r>
        <w:rPr>
          <w:rFonts w:hint="eastAsia" w:ascii="宋体" w:hAnsi="宋体" w:cs="宋体"/>
          <w:spacing w:val="-6"/>
          <w:sz w:val="21"/>
          <w:szCs w:val="21"/>
        </w:rPr>
        <w:t xml:space="preserve">需方（甲方）：                                      </w:t>
      </w:r>
    </w:p>
    <w:p>
      <w:pPr>
        <w:snapToGrid w:val="0"/>
        <w:spacing w:line="288" w:lineRule="auto"/>
        <w:rPr>
          <w:rFonts w:ascii="宋体" w:hAnsi="宋体" w:cs="宋体"/>
          <w:spacing w:val="-6"/>
          <w:sz w:val="21"/>
          <w:szCs w:val="21"/>
        </w:rPr>
      </w:pPr>
      <w:r>
        <w:rPr>
          <w:rFonts w:hint="eastAsia" w:ascii="宋体" w:hAnsi="宋体" w:cs="宋体"/>
          <w:spacing w:val="-6"/>
          <w:sz w:val="21"/>
          <w:szCs w:val="21"/>
        </w:rPr>
        <w:t xml:space="preserve">供方（乙方）：                                       </w:t>
      </w:r>
    </w:p>
    <w:p>
      <w:pPr>
        <w:snapToGrid w:val="0"/>
        <w:spacing w:line="288" w:lineRule="auto"/>
        <w:rPr>
          <w:rFonts w:ascii="宋体" w:hAnsi="宋体" w:cs="宋体"/>
          <w:spacing w:val="-6"/>
          <w:sz w:val="21"/>
          <w:szCs w:val="21"/>
        </w:rPr>
      </w:pPr>
      <w:r>
        <w:rPr>
          <w:rFonts w:hint="eastAsia" w:ascii="宋体" w:hAnsi="宋体" w:cs="宋体"/>
          <w:spacing w:val="-6"/>
          <w:sz w:val="21"/>
          <w:szCs w:val="21"/>
        </w:rPr>
        <w:t>采购单号：                                      档案编号：</w:t>
      </w:r>
    </w:p>
    <w:p>
      <w:pPr>
        <w:snapToGrid w:val="0"/>
        <w:spacing w:line="288" w:lineRule="auto"/>
        <w:rPr>
          <w:rFonts w:ascii="宋体" w:hAnsi="宋体" w:cs="宋体"/>
          <w:spacing w:val="-6"/>
          <w:sz w:val="21"/>
          <w:szCs w:val="21"/>
        </w:rPr>
      </w:pPr>
      <w:r>
        <w:rPr>
          <w:rFonts w:hint="eastAsia" w:ascii="宋体" w:hAnsi="宋体" w:cs="宋体"/>
          <w:spacing w:val="-6"/>
          <w:sz w:val="21"/>
          <w:szCs w:val="21"/>
          <w:lang w:bidi="ar"/>
        </w:rPr>
        <w:t>采购机构：</w:t>
      </w:r>
      <w:r>
        <w:rPr>
          <w:rFonts w:hint="eastAsia" w:ascii="宋体" w:hAnsi="宋体" w:cs="宋体"/>
          <w:spacing w:val="-6"/>
          <w:sz w:val="21"/>
          <w:szCs w:val="21"/>
        </w:rPr>
        <w:sym w:font="Wingdings 2" w:char="00A3"/>
      </w:r>
      <w:r>
        <w:rPr>
          <w:rFonts w:hint="eastAsia" w:ascii="宋体" w:hAnsi="宋体" w:cs="宋体"/>
          <w:spacing w:val="-6"/>
          <w:sz w:val="21"/>
          <w:szCs w:val="21"/>
        </w:rPr>
        <w:t xml:space="preserve">浙江大学采购中心   </w:t>
      </w:r>
      <w:r>
        <w:rPr>
          <w:rFonts w:hint="eastAsia" w:ascii="宋体" w:hAnsi="宋体" w:cs="宋体"/>
          <w:spacing w:val="-6"/>
          <w:sz w:val="21"/>
          <w:szCs w:val="21"/>
        </w:rPr>
        <w:sym w:font="Wingdings 2" w:char="00A3"/>
      </w:r>
      <w:r>
        <w:rPr>
          <w:rFonts w:hint="eastAsia" w:ascii="宋体" w:hAnsi="宋体" w:cs="宋体"/>
          <w:spacing w:val="-6"/>
          <w:sz w:val="21"/>
          <w:szCs w:val="21"/>
        </w:rPr>
        <w:t xml:space="preserve">浙江求是招标代理有限公司   </w:t>
      </w:r>
      <w:r>
        <w:rPr>
          <w:rFonts w:hint="eastAsia" w:ascii="宋体" w:hAnsi="宋体" w:cs="宋体"/>
          <w:spacing w:val="-6"/>
          <w:sz w:val="21"/>
          <w:szCs w:val="21"/>
        </w:rPr>
        <w:sym w:font="Wingdings 2" w:char="00A3"/>
      </w:r>
      <w:r>
        <w:rPr>
          <w:rFonts w:hint="eastAsia" w:ascii="宋体" w:hAnsi="宋体" w:cs="宋体"/>
          <w:spacing w:val="-6"/>
          <w:sz w:val="21"/>
          <w:szCs w:val="21"/>
        </w:rPr>
        <w:t xml:space="preserve">浙江五石工程咨询有限公司   </w:t>
      </w:r>
      <w:r>
        <w:rPr>
          <w:rFonts w:hint="eastAsia" w:ascii="宋体" w:hAnsi="宋体" w:cs="宋体"/>
          <w:spacing w:val="-6"/>
          <w:sz w:val="21"/>
          <w:szCs w:val="21"/>
        </w:rPr>
        <w:sym w:font="Wingdings 2" w:char="00A3"/>
      </w:r>
      <w:r>
        <w:rPr>
          <w:rFonts w:hint="eastAsia" w:ascii="宋体" w:hAnsi="宋体" w:cs="宋体"/>
          <w:spacing w:val="-6"/>
          <w:sz w:val="21"/>
          <w:szCs w:val="21"/>
        </w:rPr>
        <w:t>浙江国际招(投)标公司</w:t>
      </w:r>
    </w:p>
    <w:p>
      <w:pPr>
        <w:snapToGrid w:val="0"/>
        <w:spacing w:line="288" w:lineRule="auto"/>
        <w:rPr>
          <w:rFonts w:ascii="宋体" w:hAnsi="宋体" w:cs="宋体"/>
          <w:bCs/>
          <w:color w:val="FF0000"/>
          <w:spacing w:val="-6"/>
          <w:sz w:val="21"/>
          <w:szCs w:val="21"/>
        </w:rPr>
      </w:pPr>
    </w:p>
    <w:p>
      <w:pPr>
        <w:snapToGrid w:val="0"/>
        <w:spacing w:line="288" w:lineRule="auto"/>
        <w:rPr>
          <w:rFonts w:ascii="宋体" w:hAnsi="宋体" w:cs="宋体"/>
          <w:b/>
          <w:sz w:val="21"/>
          <w:szCs w:val="21"/>
        </w:rPr>
      </w:pPr>
      <w:r>
        <w:rPr>
          <w:rFonts w:hint="eastAsia" w:ascii="宋体" w:hAnsi="宋体" w:cs="宋体"/>
          <w:b/>
          <w:sz w:val="21"/>
          <w:szCs w:val="21"/>
        </w:rPr>
        <w:t>一、配置清单及合同价格：</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2"/>
        <w:gridCol w:w="2352"/>
        <w:gridCol w:w="689"/>
        <w:gridCol w:w="689"/>
        <w:gridCol w:w="147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690"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序号</w:t>
            </w:r>
          </w:p>
        </w:tc>
        <w:tc>
          <w:tcPr>
            <w:tcW w:w="1522"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货物名称</w:t>
            </w:r>
          </w:p>
        </w:tc>
        <w:tc>
          <w:tcPr>
            <w:tcW w:w="2352"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品牌、型号、规格</w:t>
            </w:r>
          </w:p>
        </w:tc>
        <w:tc>
          <w:tcPr>
            <w:tcW w:w="689"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数量</w:t>
            </w:r>
          </w:p>
        </w:tc>
        <w:tc>
          <w:tcPr>
            <w:tcW w:w="689"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单位</w:t>
            </w:r>
          </w:p>
        </w:tc>
        <w:tc>
          <w:tcPr>
            <w:tcW w:w="1475"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单价（元）</w:t>
            </w:r>
          </w:p>
        </w:tc>
        <w:tc>
          <w:tcPr>
            <w:tcW w:w="1874"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690"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1522" w:type="dxa"/>
            <w:vAlign w:val="center"/>
          </w:tcPr>
          <w:p>
            <w:pPr>
              <w:snapToGrid w:val="0"/>
              <w:spacing w:line="288" w:lineRule="auto"/>
              <w:jc w:val="center"/>
              <w:rPr>
                <w:rFonts w:ascii="宋体" w:hAnsi="宋体" w:cs="宋体"/>
                <w:spacing w:val="-6"/>
                <w:sz w:val="21"/>
                <w:szCs w:val="21"/>
              </w:rPr>
            </w:pPr>
          </w:p>
        </w:tc>
        <w:tc>
          <w:tcPr>
            <w:tcW w:w="2352" w:type="dxa"/>
            <w:vAlign w:val="center"/>
          </w:tcPr>
          <w:p>
            <w:pPr>
              <w:snapToGrid w:val="0"/>
              <w:spacing w:line="288" w:lineRule="auto"/>
              <w:jc w:val="center"/>
              <w:rPr>
                <w:rFonts w:ascii="宋体" w:hAnsi="宋体" w:cs="宋体"/>
                <w:spacing w:val="-6"/>
                <w:sz w:val="21"/>
                <w:szCs w:val="21"/>
              </w:rPr>
            </w:pPr>
          </w:p>
        </w:tc>
        <w:tc>
          <w:tcPr>
            <w:tcW w:w="689" w:type="dxa"/>
            <w:vAlign w:val="center"/>
          </w:tcPr>
          <w:p>
            <w:pPr>
              <w:snapToGrid w:val="0"/>
              <w:spacing w:line="288" w:lineRule="auto"/>
              <w:jc w:val="center"/>
              <w:rPr>
                <w:rFonts w:ascii="宋体" w:hAnsi="宋体" w:cs="宋体"/>
                <w:spacing w:val="-6"/>
                <w:sz w:val="21"/>
                <w:szCs w:val="21"/>
              </w:rPr>
            </w:pPr>
          </w:p>
        </w:tc>
        <w:tc>
          <w:tcPr>
            <w:tcW w:w="689" w:type="dxa"/>
            <w:vAlign w:val="center"/>
          </w:tcPr>
          <w:p>
            <w:pPr>
              <w:snapToGrid w:val="0"/>
              <w:spacing w:line="288" w:lineRule="auto"/>
              <w:jc w:val="center"/>
              <w:rPr>
                <w:rFonts w:ascii="宋体" w:hAnsi="宋体" w:cs="宋体"/>
                <w:spacing w:val="-6"/>
                <w:sz w:val="21"/>
                <w:szCs w:val="21"/>
              </w:rPr>
            </w:pPr>
          </w:p>
        </w:tc>
        <w:tc>
          <w:tcPr>
            <w:tcW w:w="1475" w:type="dxa"/>
            <w:vAlign w:val="center"/>
          </w:tcPr>
          <w:p>
            <w:pPr>
              <w:snapToGrid w:val="0"/>
              <w:spacing w:line="288" w:lineRule="auto"/>
              <w:jc w:val="center"/>
              <w:rPr>
                <w:rFonts w:ascii="宋体" w:hAnsi="宋体" w:cs="宋体"/>
                <w:spacing w:val="-6"/>
                <w:sz w:val="21"/>
                <w:szCs w:val="21"/>
              </w:rPr>
            </w:pPr>
          </w:p>
        </w:tc>
        <w:tc>
          <w:tcPr>
            <w:tcW w:w="1874" w:type="dxa"/>
            <w:vAlign w:val="center"/>
          </w:tcPr>
          <w:p>
            <w:pPr>
              <w:snapToGrid w:val="0"/>
              <w:spacing w:line="288" w:lineRule="auto"/>
              <w:jc w:val="center"/>
              <w:rPr>
                <w:rFonts w:ascii="宋体" w:hAnsi="宋体" w:cs="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690" w:type="dxa"/>
            <w:vAlign w:val="center"/>
          </w:tcPr>
          <w:p>
            <w:pPr>
              <w:snapToGrid w:val="0"/>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1522" w:type="dxa"/>
            <w:vAlign w:val="center"/>
          </w:tcPr>
          <w:p>
            <w:pPr>
              <w:snapToGrid w:val="0"/>
              <w:spacing w:line="288" w:lineRule="auto"/>
              <w:jc w:val="center"/>
              <w:rPr>
                <w:rFonts w:ascii="宋体" w:hAnsi="宋体" w:cs="宋体"/>
                <w:spacing w:val="-6"/>
                <w:sz w:val="21"/>
                <w:szCs w:val="21"/>
              </w:rPr>
            </w:pPr>
          </w:p>
        </w:tc>
        <w:tc>
          <w:tcPr>
            <w:tcW w:w="2352" w:type="dxa"/>
            <w:vAlign w:val="center"/>
          </w:tcPr>
          <w:p>
            <w:pPr>
              <w:snapToGrid w:val="0"/>
              <w:spacing w:line="288" w:lineRule="auto"/>
              <w:jc w:val="center"/>
              <w:rPr>
                <w:rFonts w:ascii="宋体" w:hAnsi="宋体" w:cs="宋体"/>
                <w:spacing w:val="-6"/>
                <w:sz w:val="21"/>
                <w:szCs w:val="21"/>
              </w:rPr>
            </w:pPr>
          </w:p>
        </w:tc>
        <w:tc>
          <w:tcPr>
            <w:tcW w:w="689" w:type="dxa"/>
            <w:vAlign w:val="center"/>
          </w:tcPr>
          <w:p>
            <w:pPr>
              <w:snapToGrid w:val="0"/>
              <w:spacing w:line="288" w:lineRule="auto"/>
              <w:jc w:val="center"/>
              <w:rPr>
                <w:rFonts w:ascii="宋体" w:hAnsi="宋体" w:cs="宋体"/>
                <w:spacing w:val="-6"/>
                <w:sz w:val="21"/>
                <w:szCs w:val="21"/>
              </w:rPr>
            </w:pPr>
          </w:p>
        </w:tc>
        <w:tc>
          <w:tcPr>
            <w:tcW w:w="689" w:type="dxa"/>
            <w:vAlign w:val="center"/>
          </w:tcPr>
          <w:p>
            <w:pPr>
              <w:snapToGrid w:val="0"/>
              <w:spacing w:line="288" w:lineRule="auto"/>
              <w:jc w:val="center"/>
              <w:rPr>
                <w:rFonts w:ascii="宋体" w:hAnsi="宋体" w:cs="宋体"/>
                <w:spacing w:val="-6"/>
                <w:sz w:val="21"/>
                <w:szCs w:val="21"/>
              </w:rPr>
            </w:pPr>
          </w:p>
        </w:tc>
        <w:tc>
          <w:tcPr>
            <w:tcW w:w="1475" w:type="dxa"/>
            <w:vAlign w:val="center"/>
          </w:tcPr>
          <w:p>
            <w:pPr>
              <w:snapToGrid w:val="0"/>
              <w:spacing w:line="288" w:lineRule="auto"/>
              <w:jc w:val="center"/>
              <w:rPr>
                <w:rFonts w:ascii="宋体" w:hAnsi="宋体" w:cs="宋体"/>
                <w:spacing w:val="-6"/>
                <w:sz w:val="21"/>
                <w:szCs w:val="21"/>
              </w:rPr>
            </w:pPr>
          </w:p>
        </w:tc>
        <w:tc>
          <w:tcPr>
            <w:tcW w:w="1874" w:type="dxa"/>
            <w:vAlign w:val="center"/>
          </w:tcPr>
          <w:p>
            <w:pPr>
              <w:snapToGrid w:val="0"/>
              <w:spacing w:line="288" w:lineRule="auto"/>
              <w:jc w:val="center"/>
              <w:rPr>
                <w:rFonts w:ascii="宋体" w:hAnsi="宋体" w:cs="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9291" w:type="dxa"/>
            <w:gridSpan w:val="7"/>
            <w:tcBorders>
              <w:right w:val="single" w:color="auto" w:sz="4" w:space="0"/>
            </w:tcBorders>
            <w:vAlign w:val="center"/>
          </w:tcPr>
          <w:p>
            <w:pPr>
              <w:snapToGrid w:val="0"/>
              <w:spacing w:line="288" w:lineRule="auto"/>
              <w:jc w:val="left"/>
              <w:rPr>
                <w:rFonts w:ascii="宋体" w:hAnsi="宋体" w:cs="宋体"/>
                <w:spacing w:val="-6"/>
                <w:sz w:val="21"/>
                <w:szCs w:val="21"/>
              </w:rPr>
            </w:pPr>
            <w:r>
              <w:rPr>
                <w:rFonts w:hint="eastAsia" w:ascii="宋体" w:hAnsi="宋体" w:cs="宋体"/>
                <w:spacing w:val="-6"/>
                <w:sz w:val="21"/>
                <w:szCs w:val="21"/>
              </w:rPr>
              <w:t>合同总价（人民币）：</w:t>
            </w:r>
          </w:p>
        </w:tc>
      </w:tr>
    </w:tbl>
    <w:p>
      <w:pPr>
        <w:snapToGrid w:val="0"/>
        <w:spacing w:line="288" w:lineRule="auto"/>
        <w:rPr>
          <w:rFonts w:ascii="宋体" w:hAnsi="宋体" w:cs="宋体"/>
          <w:bCs/>
          <w:sz w:val="21"/>
          <w:szCs w:val="21"/>
        </w:rPr>
      </w:pPr>
      <w:r>
        <w:rPr>
          <w:rFonts w:hint="eastAsia" w:ascii="宋体" w:hAnsi="宋体" w:cs="宋体"/>
          <w:bCs/>
          <w:sz w:val="21"/>
          <w:szCs w:val="21"/>
        </w:rPr>
        <w:t>注：详细配置清单可附页</w:t>
      </w:r>
    </w:p>
    <w:p>
      <w:pPr>
        <w:snapToGrid w:val="0"/>
        <w:spacing w:line="288" w:lineRule="auto"/>
        <w:rPr>
          <w:rFonts w:ascii="宋体" w:hAnsi="宋体" w:cs="宋体"/>
          <w:b/>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二、交货时间及地点：</w:t>
      </w:r>
    </w:p>
    <w:p>
      <w:pPr>
        <w:snapToGrid w:val="0"/>
        <w:spacing w:line="288" w:lineRule="auto"/>
        <w:ind w:firstLine="567" w:firstLineChars="270"/>
        <w:rPr>
          <w:rFonts w:ascii="宋体" w:hAnsi="宋体" w:cs="宋体"/>
          <w:bCs/>
          <w:sz w:val="21"/>
          <w:szCs w:val="21"/>
        </w:rPr>
      </w:pPr>
      <w:r>
        <w:rPr>
          <w:rFonts w:hint="eastAsia" w:ascii="宋体" w:hAnsi="宋体" w:cs="宋体"/>
          <w:bCs/>
          <w:sz w:val="21"/>
          <w:szCs w:val="21"/>
        </w:rPr>
        <w:sym w:font="Wingdings" w:char="F0FE"/>
      </w:r>
      <w:r>
        <w:rPr>
          <w:rFonts w:hint="eastAsia" w:ascii="宋体" w:hAnsi="宋体" w:cs="宋体"/>
          <w:bCs/>
          <w:sz w:val="21"/>
          <w:szCs w:val="21"/>
        </w:rPr>
        <w:t>本合同双方签字盖章生效后</w:t>
      </w:r>
      <w:r>
        <w:rPr>
          <w:rFonts w:hint="eastAsia" w:ascii="宋体" w:hAnsi="宋体" w:cs="宋体"/>
          <w:bCs/>
          <w:sz w:val="21"/>
          <w:szCs w:val="21"/>
          <w:u w:val="single"/>
        </w:rPr>
        <w:t xml:space="preserve">        个</w:t>
      </w:r>
      <w:r>
        <w:rPr>
          <w:rFonts w:hint="eastAsia" w:ascii="宋体" w:hAnsi="宋体" w:cs="宋体"/>
          <w:bCs/>
          <w:sz w:val="21"/>
          <w:szCs w:val="21"/>
        </w:rPr>
        <w:t>自然日</w:t>
      </w:r>
    </w:p>
    <w:p>
      <w:pPr>
        <w:snapToGrid w:val="0"/>
        <w:spacing w:line="288" w:lineRule="auto"/>
        <w:ind w:firstLine="567" w:firstLineChars="270"/>
        <w:rPr>
          <w:rFonts w:ascii="宋体" w:hAnsi="宋体" w:cs="宋体"/>
          <w:bCs/>
          <w:sz w:val="21"/>
          <w:szCs w:val="21"/>
          <w:u w:val="single"/>
        </w:rPr>
      </w:pPr>
      <w:r>
        <w:rPr>
          <w:rFonts w:hint="eastAsia" w:ascii="宋体" w:hAnsi="宋体" w:cs="宋体"/>
          <w:bCs/>
          <w:sz w:val="21"/>
          <w:szCs w:val="21"/>
        </w:rPr>
        <w:sym w:font="Wingdings" w:char="F0A8"/>
      </w:r>
      <w:r>
        <w:rPr>
          <w:rFonts w:hint="eastAsia" w:ascii="宋体" w:hAnsi="宋体" w:cs="宋体"/>
          <w:bCs/>
          <w:sz w:val="21"/>
          <w:szCs w:val="21"/>
        </w:rPr>
        <w:t>不晚于     年   月   日</w:t>
      </w:r>
    </w:p>
    <w:p>
      <w:pPr>
        <w:snapToGrid w:val="0"/>
        <w:spacing w:line="288" w:lineRule="auto"/>
        <w:ind w:firstLine="567" w:firstLineChars="270"/>
        <w:rPr>
          <w:rFonts w:ascii="宋体" w:hAnsi="宋体" w:cs="宋体"/>
          <w:bCs/>
          <w:sz w:val="21"/>
          <w:szCs w:val="21"/>
        </w:rPr>
      </w:pPr>
      <w:r>
        <w:rPr>
          <w:rFonts w:hint="eastAsia" w:ascii="宋体" w:hAnsi="宋体" w:cs="宋体"/>
          <w:bCs/>
          <w:sz w:val="21"/>
          <w:szCs w:val="21"/>
        </w:rPr>
        <w:t>约定的设备交付地点：</w:t>
      </w:r>
    </w:p>
    <w:p>
      <w:pPr>
        <w:snapToGrid w:val="0"/>
        <w:spacing w:line="288" w:lineRule="auto"/>
        <w:rPr>
          <w:rFonts w:ascii="宋体" w:hAnsi="宋体" w:cs="宋体"/>
          <w:b/>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三、技术性能指标</w:t>
      </w:r>
    </w:p>
    <w:p>
      <w:pPr>
        <w:snapToGrid w:val="0"/>
        <w:spacing w:line="288" w:lineRule="auto"/>
        <w:ind w:firstLine="567" w:firstLineChars="270"/>
        <w:rPr>
          <w:rFonts w:ascii="宋体" w:hAnsi="宋体" w:cs="宋体"/>
          <w:bCs/>
          <w:sz w:val="21"/>
          <w:szCs w:val="21"/>
        </w:rPr>
      </w:pPr>
      <w:r>
        <w:rPr>
          <w:rFonts w:hint="eastAsia" w:ascii="宋体" w:hAnsi="宋体" w:cs="宋体"/>
          <w:bCs/>
          <w:sz w:val="21"/>
          <w:szCs w:val="21"/>
        </w:rPr>
        <w:t>具体指标如下：</w:t>
      </w:r>
      <w:r>
        <w:rPr>
          <w:rFonts w:hint="eastAsia" w:ascii="宋体" w:hAnsi="宋体" w:cs="宋体"/>
          <w:bCs/>
          <w:i/>
          <w:iCs/>
          <w:sz w:val="21"/>
          <w:szCs w:val="21"/>
        </w:rPr>
        <w:t>（要与采购文件或应标文件，以及谈判补充承诺等内容相一致）</w:t>
      </w:r>
    </w:p>
    <w:p>
      <w:pPr>
        <w:snapToGrid w:val="0"/>
        <w:spacing w:line="288" w:lineRule="auto"/>
        <w:ind w:firstLine="567" w:firstLineChars="270"/>
        <w:rPr>
          <w:rFonts w:ascii="宋体" w:hAnsi="宋体" w:cs="宋体"/>
          <w:bCs/>
          <w:i/>
          <w:iCs/>
          <w:sz w:val="21"/>
          <w:szCs w:val="21"/>
        </w:rPr>
      </w:pPr>
      <w:r>
        <w:rPr>
          <w:rFonts w:hint="eastAsia" w:ascii="宋体" w:hAnsi="宋体" w:cs="宋体"/>
          <w:bCs/>
          <w:i/>
          <w:iCs/>
          <w:sz w:val="21"/>
          <w:szCs w:val="21"/>
        </w:rPr>
        <w:t>（在采购会后与供方商议的内容可另附页）</w:t>
      </w:r>
    </w:p>
    <w:p>
      <w:pPr>
        <w:snapToGrid w:val="0"/>
        <w:spacing w:line="288" w:lineRule="auto"/>
        <w:ind w:firstLine="567" w:firstLineChars="270"/>
        <w:rPr>
          <w:rFonts w:ascii="宋体" w:hAnsi="宋体" w:cs="宋体"/>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四、验收标准</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供方将所供商品运至交货地点安装调试完毕后，由需方负责在</w:t>
      </w:r>
      <w:r>
        <w:rPr>
          <w:rFonts w:hint="eastAsia" w:ascii="宋体" w:hAnsi="宋体" w:cs="宋体"/>
          <w:spacing w:val="-6"/>
          <w:sz w:val="21"/>
          <w:szCs w:val="21"/>
          <w:u w:val="single"/>
        </w:rPr>
        <w:t xml:space="preserve">       </w:t>
      </w:r>
      <w:r>
        <w:rPr>
          <w:rFonts w:hint="eastAsia" w:ascii="宋体" w:hAnsi="宋体" w:cs="宋体"/>
          <w:spacing w:val="-6"/>
          <w:sz w:val="21"/>
          <w:szCs w:val="21"/>
        </w:rPr>
        <w:t>日内按验收标准进行验收。如发现质量问题，双方另行约定再次验收条件及时间。如发现有重大的质量问题，双方均同意提请国家法定检测机构鉴定，如检测结果证明产品无质量问题，需方承担检测费用；如检测结果证明产品有质量问题，供方承担检测费用。（同时供方同意需方可无条件退货并由供方支付给需方货款总价</w:t>
      </w:r>
      <w:r>
        <w:rPr>
          <w:rFonts w:hint="eastAsia" w:ascii="宋体" w:hAnsi="宋体" w:cs="宋体"/>
          <w:spacing w:val="-6"/>
          <w:sz w:val="21"/>
          <w:szCs w:val="21"/>
          <w:u w:val="single"/>
        </w:rPr>
        <w:t xml:space="preserve">   </w:t>
      </w:r>
      <w:r>
        <w:rPr>
          <w:rFonts w:hint="eastAsia" w:ascii="宋体" w:hAnsi="宋体" w:cs="宋体"/>
          <w:spacing w:val="-6"/>
          <w:sz w:val="21"/>
          <w:szCs w:val="21"/>
        </w:rPr>
        <w:t>％的赔偿金。）</w:t>
      </w:r>
    </w:p>
    <w:p>
      <w:pPr>
        <w:snapToGrid w:val="0"/>
        <w:spacing w:line="288" w:lineRule="auto"/>
        <w:ind w:firstLine="420" w:firstLineChars="200"/>
        <w:rPr>
          <w:rFonts w:ascii="宋体" w:hAnsi="宋体" w:cs="宋体"/>
          <w:bCs/>
          <w:sz w:val="21"/>
          <w:szCs w:val="21"/>
        </w:rPr>
      </w:pPr>
      <w:r>
        <w:rPr>
          <w:rFonts w:hint="eastAsia" w:ascii="宋体" w:hAnsi="宋体" w:cs="宋体"/>
          <w:bCs/>
          <w:sz w:val="21"/>
          <w:szCs w:val="21"/>
        </w:rPr>
        <w:t>验收标准如下：（也可另附页）</w:t>
      </w:r>
    </w:p>
    <w:p>
      <w:pPr>
        <w:snapToGrid w:val="0"/>
        <w:spacing w:line="288" w:lineRule="auto"/>
        <w:rPr>
          <w:rFonts w:ascii="宋体" w:hAnsi="宋体" w:cs="宋体"/>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五、协作和工作约定</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双方约定，在项目实施过程中，因业务、技术、资源、人员等因素需变更执行内容，双方须经协商签订项目变更函，由责任承担方发起，说明原因和协商结果，经双方项目负责人签字生效。</w:t>
      </w:r>
    </w:p>
    <w:p>
      <w:pPr>
        <w:snapToGrid w:val="0"/>
        <w:spacing w:line="288" w:lineRule="auto"/>
        <w:ind w:firstLine="425"/>
        <w:rPr>
          <w:rFonts w:ascii="宋体" w:hAnsi="宋体" w:cs="宋体"/>
          <w:b/>
          <w:sz w:val="21"/>
          <w:szCs w:val="21"/>
        </w:rPr>
      </w:pPr>
      <w:r>
        <w:rPr>
          <w:rFonts w:hint="eastAsia" w:ascii="宋体" w:hAnsi="宋体" w:cs="宋体"/>
          <w:b/>
          <w:sz w:val="21"/>
          <w:szCs w:val="21"/>
        </w:rPr>
        <w:t>甲方的权利和义务</w:t>
      </w:r>
    </w:p>
    <w:p>
      <w:pPr>
        <w:numPr>
          <w:ilvl w:val="0"/>
          <w:numId w:val="2"/>
        </w:numPr>
        <w:snapToGrid w:val="0"/>
        <w:spacing w:line="288" w:lineRule="auto"/>
        <w:rPr>
          <w:rFonts w:ascii="宋体" w:hAnsi="宋体" w:cs="宋体"/>
          <w:sz w:val="21"/>
          <w:szCs w:val="21"/>
        </w:rPr>
      </w:pPr>
      <w:r>
        <w:rPr>
          <w:rFonts w:hint="eastAsia" w:ascii="宋体" w:hAnsi="宋体" w:cs="宋体"/>
          <w:sz w:val="21"/>
          <w:szCs w:val="21"/>
        </w:rPr>
        <w:t xml:space="preserve">甲方指定   </w:t>
      </w:r>
      <w:r>
        <w:rPr>
          <w:rFonts w:hint="eastAsia" w:ascii="宋体" w:hAnsi="宋体" w:cs="宋体"/>
          <w:i/>
          <w:iCs/>
          <w:sz w:val="21"/>
          <w:szCs w:val="21"/>
          <w:u w:val="single"/>
        </w:rPr>
        <w:t>XXX</w:t>
      </w:r>
      <w:r>
        <w:rPr>
          <w:rFonts w:hint="eastAsia" w:ascii="宋体" w:hAnsi="宋体" w:cs="宋体"/>
          <w:sz w:val="21"/>
          <w:szCs w:val="21"/>
        </w:rPr>
        <w:t xml:space="preserve">  为项目技术负责人，联系方式：</w:t>
      </w:r>
      <w:r>
        <w:rPr>
          <w:rFonts w:hint="eastAsia" w:ascii="宋体" w:hAnsi="宋体" w:cs="宋体"/>
          <w:i/>
          <w:iCs/>
          <w:sz w:val="21"/>
          <w:szCs w:val="21"/>
          <w:u w:val="single"/>
        </w:rPr>
        <w:t>浙江大学信息中心</w:t>
      </w:r>
      <w:r>
        <w:rPr>
          <w:rFonts w:hint="eastAsia" w:ascii="宋体" w:hAnsi="宋体" w:cs="宋体"/>
          <w:sz w:val="21"/>
          <w:szCs w:val="21"/>
        </w:rPr>
        <w:t>，电话：（办公室</w:t>
      </w:r>
      <w:r>
        <w:rPr>
          <w:rFonts w:hint="eastAsia" w:ascii="宋体" w:hAnsi="宋体" w:cs="宋体"/>
          <w:i/>
          <w:iCs/>
          <w:sz w:val="21"/>
          <w:szCs w:val="21"/>
          <w:u w:val="single"/>
        </w:rPr>
        <w:t>/</w:t>
      </w:r>
      <w:r>
        <w:rPr>
          <w:rFonts w:hint="eastAsia" w:ascii="宋体" w:hAnsi="宋体" w:cs="宋体"/>
          <w:sz w:val="21"/>
          <w:szCs w:val="21"/>
        </w:rPr>
        <w:t>手机</w:t>
      </w:r>
      <w:r>
        <w:rPr>
          <w:rFonts w:hint="eastAsia" w:ascii="宋体" w:hAnsi="宋体" w:cs="宋体"/>
          <w:i/>
          <w:iCs/>
          <w:sz w:val="21"/>
          <w:szCs w:val="21"/>
          <w:u w:val="single"/>
        </w:rPr>
        <w:t xml:space="preserve">           </w:t>
      </w:r>
      <w:r>
        <w:rPr>
          <w:rFonts w:hint="eastAsia" w:ascii="宋体" w:hAnsi="宋体" w:cs="宋体"/>
          <w:sz w:val="21"/>
          <w:szCs w:val="21"/>
        </w:rPr>
        <w:t>），邮件：</w:t>
      </w:r>
      <w:r>
        <w:rPr>
          <w:rFonts w:hint="eastAsia" w:ascii="宋体" w:hAnsi="宋体" w:cs="宋体"/>
          <w:i/>
          <w:iCs/>
          <w:sz w:val="21"/>
          <w:szCs w:val="21"/>
          <w:u w:val="single"/>
        </w:rPr>
        <w:t xml:space="preserve">          </w:t>
      </w:r>
      <w:r>
        <w:rPr>
          <w:rFonts w:hint="eastAsia" w:ascii="宋体" w:hAnsi="宋体" w:cs="宋体"/>
          <w:sz w:val="21"/>
          <w:szCs w:val="21"/>
        </w:rPr>
        <w:t>。甲方授权</w:t>
      </w:r>
      <w:r>
        <w:rPr>
          <w:rFonts w:hint="eastAsia" w:ascii="宋体" w:hAnsi="宋体" w:cs="宋体"/>
          <w:i/>
          <w:iCs/>
          <w:sz w:val="21"/>
          <w:szCs w:val="21"/>
          <w:u w:val="single"/>
        </w:rPr>
        <w:t>XXX</w:t>
      </w:r>
      <w:r>
        <w:rPr>
          <w:rFonts w:hint="eastAsia" w:ascii="宋体" w:hAnsi="宋体" w:cs="宋体"/>
          <w:sz w:val="21"/>
          <w:szCs w:val="21"/>
        </w:rPr>
        <w:t>全权代表负责项目建设过程中的协调沟通，涉及重大变更的文件须经项目负责人签字认可。</w:t>
      </w:r>
    </w:p>
    <w:p>
      <w:pPr>
        <w:numPr>
          <w:ilvl w:val="0"/>
          <w:numId w:val="2"/>
        </w:numPr>
        <w:snapToGrid w:val="0"/>
        <w:spacing w:line="288" w:lineRule="auto"/>
        <w:rPr>
          <w:rFonts w:ascii="宋体" w:hAnsi="宋体" w:cs="宋体"/>
          <w:sz w:val="21"/>
          <w:szCs w:val="21"/>
        </w:rPr>
      </w:pPr>
      <w:r>
        <w:rPr>
          <w:rFonts w:hint="eastAsia" w:ascii="宋体" w:hAnsi="宋体" w:cs="宋体"/>
          <w:sz w:val="21"/>
          <w:szCs w:val="21"/>
        </w:rPr>
        <w:t>向乙方提供必要的业务需求；</w:t>
      </w:r>
    </w:p>
    <w:p>
      <w:pPr>
        <w:numPr>
          <w:ilvl w:val="0"/>
          <w:numId w:val="2"/>
        </w:numPr>
        <w:snapToGrid w:val="0"/>
        <w:spacing w:line="288" w:lineRule="auto"/>
        <w:rPr>
          <w:rFonts w:ascii="宋体" w:hAnsi="宋体" w:cs="宋体"/>
          <w:sz w:val="21"/>
          <w:szCs w:val="21"/>
        </w:rPr>
      </w:pPr>
      <w:r>
        <w:rPr>
          <w:rFonts w:hint="eastAsia" w:ascii="宋体" w:hAnsi="宋体" w:cs="宋体"/>
          <w:sz w:val="21"/>
          <w:szCs w:val="21"/>
        </w:rPr>
        <w:t>向乙方提供实施本项目所必须的应由甲方提供的信息及资料；及时对乙方实施本项目的提问等进行答复、确认；</w:t>
      </w:r>
    </w:p>
    <w:p>
      <w:pPr>
        <w:snapToGrid w:val="0"/>
        <w:spacing w:line="288" w:lineRule="auto"/>
        <w:ind w:firstLine="420"/>
        <w:rPr>
          <w:rFonts w:ascii="宋体" w:hAnsi="宋体" w:cs="宋体"/>
          <w:b/>
          <w:sz w:val="21"/>
          <w:szCs w:val="21"/>
        </w:rPr>
      </w:pPr>
      <w:r>
        <w:rPr>
          <w:rFonts w:hint="eastAsia" w:ascii="宋体" w:hAnsi="宋体" w:cs="宋体"/>
          <w:b/>
          <w:sz w:val="21"/>
          <w:szCs w:val="21"/>
        </w:rPr>
        <w:t>乙方的权利和义务</w:t>
      </w:r>
    </w:p>
    <w:p>
      <w:pPr>
        <w:numPr>
          <w:ilvl w:val="0"/>
          <w:numId w:val="3"/>
        </w:numPr>
        <w:snapToGrid w:val="0"/>
        <w:spacing w:line="288" w:lineRule="auto"/>
        <w:rPr>
          <w:rFonts w:ascii="宋体" w:hAnsi="宋体" w:cs="宋体"/>
          <w:sz w:val="21"/>
          <w:szCs w:val="21"/>
        </w:rPr>
      </w:pPr>
      <w:r>
        <w:rPr>
          <w:rFonts w:hint="eastAsia" w:ascii="宋体" w:hAnsi="宋体" w:cs="宋体"/>
          <w:sz w:val="21"/>
          <w:szCs w:val="21"/>
        </w:rPr>
        <w:t xml:space="preserve">乙方指定  </w:t>
      </w:r>
      <w:r>
        <w:rPr>
          <w:rFonts w:hint="eastAsia" w:ascii="宋体" w:hAnsi="宋体" w:cs="宋体"/>
          <w:i/>
          <w:iCs/>
          <w:sz w:val="21"/>
          <w:szCs w:val="21"/>
          <w:u w:val="single"/>
        </w:rPr>
        <w:t xml:space="preserve">  XXX  </w:t>
      </w:r>
      <w:r>
        <w:rPr>
          <w:rFonts w:hint="eastAsia" w:ascii="宋体" w:hAnsi="宋体" w:cs="宋体"/>
          <w:sz w:val="21"/>
          <w:szCs w:val="21"/>
        </w:rPr>
        <w:t xml:space="preserve">  为项目技术负责人，联系方式：</w:t>
      </w:r>
      <w:r>
        <w:rPr>
          <w:rFonts w:hint="eastAsia" w:ascii="宋体" w:hAnsi="宋体" w:cs="宋体"/>
          <w:sz w:val="21"/>
          <w:szCs w:val="21"/>
          <w:u w:val="single"/>
        </w:rPr>
        <w:t xml:space="preserve">                </w:t>
      </w:r>
      <w:r>
        <w:rPr>
          <w:rFonts w:hint="eastAsia" w:ascii="宋体" w:hAnsi="宋体" w:cs="宋体"/>
          <w:sz w:val="21"/>
          <w:szCs w:val="21"/>
        </w:rPr>
        <w:t>电话：（办公室</w:t>
      </w:r>
      <w:r>
        <w:rPr>
          <w:rFonts w:hint="eastAsia" w:ascii="宋体" w:hAnsi="宋体" w:cs="宋体"/>
          <w:i/>
          <w:iCs/>
          <w:sz w:val="21"/>
          <w:szCs w:val="21"/>
          <w:u w:val="single"/>
        </w:rPr>
        <w:t>/</w:t>
      </w:r>
      <w:r>
        <w:rPr>
          <w:rFonts w:hint="eastAsia" w:ascii="宋体" w:hAnsi="宋体" w:cs="宋体"/>
          <w:sz w:val="21"/>
          <w:szCs w:val="21"/>
        </w:rPr>
        <w:t>手机</w:t>
      </w:r>
      <w:r>
        <w:rPr>
          <w:rFonts w:hint="eastAsia" w:ascii="宋体" w:hAnsi="宋体" w:cs="宋体"/>
          <w:i/>
          <w:iCs/>
          <w:sz w:val="21"/>
          <w:szCs w:val="21"/>
          <w:u w:val="single"/>
        </w:rPr>
        <w:t xml:space="preserve">     </w:t>
      </w:r>
      <w:r>
        <w:rPr>
          <w:rFonts w:hint="eastAsia" w:ascii="宋体" w:hAnsi="宋体" w:cs="宋体"/>
          <w:sz w:val="21"/>
          <w:szCs w:val="21"/>
        </w:rPr>
        <w:t>），邮件：</w:t>
      </w:r>
      <w:r>
        <w:rPr>
          <w:rFonts w:hint="eastAsia" w:ascii="宋体" w:hAnsi="宋体" w:cs="宋体"/>
          <w:sz w:val="21"/>
          <w:szCs w:val="21"/>
          <w:u w:val="single"/>
        </w:rPr>
        <w:t xml:space="preserve">               </w:t>
      </w:r>
      <w:r>
        <w:rPr>
          <w:rFonts w:hint="eastAsia" w:ascii="宋体" w:hAnsi="宋体" w:cs="宋体"/>
          <w:sz w:val="21"/>
          <w:szCs w:val="21"/>
        </w:rPr>
        <w:t xml:space="preserve">。乙方授权  </w:t>
      </w:r>
      <w:r>
        <w:rPr>
          <w:rFonts w:hint="eastAsia" w:ascii="宋体" w:hAnsi="宋体" w:cs="宋体"/>
          <w:i/>
          <w:iCs/>
          <w:sz w:val="21"/>
          <w:szCs w:val="21"/>
          <w:u w:val="single"/>
        </w:rPr>
        <w:t xml:space="preserve"> XXX</w:t>
      </w:r>
      <w:r>
        <w:rPr>
          <w:rFonts w:hint="eastAsia" w:ascii="宋体" w:hAnsi="宋体" w:cs="宋体"/>
          <w:sz w:val="21"/>
          <w:szCs w:val="21"/>
          <w:u w:val="single"/>
        </w:rPr>
        <w:t xml:space="preserve"> </w:t>
      </w:r>
      <w:r>
        <w:rPr>
          <w:rFonts w:hint="eastAsia" w:ascii="宋体" w:hAnsi="宋体" w:cs="宋体"/>
          <w:sz w:val="21"/>
          <w:szCs w:val="21"/>
        </w:rPr>
        <w:t xml:space="preserve">  全权代表负责项目建设过程中的协调沟通，涉及重大变更的文件须经项目负责人签字认可。</w:t>
      </w:r>
    </w:p>
    <w:p>
      <w:pPr>
        <w:numPr>
          <w:ilvl w:val="0"/>
          <w:numId w:val="3"/>
        </w:numPr>
        <w:snapToGrid w:val="0"/>
        <w:spacing w:line="288" w:lineRule="auto"/>
        <w:rPr>
          <w:rFonts w:ascii="宋体" w:hAnsi="宋体" w:cs="宋体"/>
          <w:sz w:val="21"/>
          <w:szCs w:val="21"/>
        </w:rPr>
      </w:pPr>
      <w:r>
        <w:rPr>
          <w:rFonts w:hint="eastAsia" w:ascii="宋体" w:hAnsi="宋体" w:cs="宋体"/>
          <w:sz w:val="21"/>
          <w:szCs w:val="21"/>
        </w:rPr>
        <w:t>向甲方提供合同及其附件所规定的所有服务内容；</w:t>
      </w:r>
    </w:p>
    <w:p>
      <w:pPr>
        <w:numPr>
          <w:ilvl w:val="0"/>
          <w:numId w:val="3"/>
        </w:numPr>
        <w:snapToGrid w:val="0"/>
        <w:spacing w:line="288" w:lineRule="auto"/>
        <w:rPr>
          <w:rFonts w:ascii="宋体" w:hAnsi="宋体" w:cs="宋体"/>
          <w:sz w:val="21"/>
          <w:szCs w:val="21"/>
        </w:rPr>
      </w:pPr>
      <w:r>
        <w:rPr>
          <w:rFonts w:hint="eastAsia" w:ascii="宋体" w:hAnsi="宋体" w:cs="宋体"/>
          <w:sz w:val="21"/>
          <w:szCs w:val="21"/>
        </w:rPr>
        <w:t>在验收时，负责对合同规定的由乙方完成的所有图纸、文件、资料、记录等技术文档进行整理、归档，其中纸质材料一式两份移交给甲方，并同时提供电子版材料；</w:t>
      </w:r>
    </w:p>
    <w:p>
      <w:pPr>
        <w:numPr>
          <w:ilvl w:val="0"/>
          <w:numId w:val="3"/>
        </w:numPr>
        <w:snapToGrid w:val="0"/>
        <w:spacing w:line="288" w:lineRule="auto"/>
        <w:rPr>
          <w:rFonts w:ascii="宋体" w:hAnsi="宋体" w:cs="宋体"/>
          <w:sz w:val="21"/>
          <w:szCs w:val="21"/>
        </w:rPr>
      </w:pPr>
      <w:r>
        <w:rPr>
          <w:rFonts w:hint="eastAsia" w:ascii="宋体" w:hAnsi="宋体" w:cs="宋体"/>
          <w:sz w:val="21"/>
          <w:szCs w:val="21"/>
        </w:rPr>
        <w:t>在整个系统建设过程中，应采用适合本项目建设的项目实施管理方法和工具，用以指导和管理项目建设。</w:t>
      </w:r>
    </w:p>
    <w:p>
      <w:pPr>
        <w:snapToGrid w:val="0"/>
        <w:spacing w:line="288" w:lineRule="auto"/>
        <w:rPr>
          <w:rFonts w:ascii="宋体" w:hAnsi="宋体" w:cs="宋体"/>
          <w:b/>
          <w:bCs/>
          <w:sz w:val="21"/>
          <w:szCs w:val="21"/>
        </w:rPr>
      </w:pPr>
      <w:r>
        <w:rPr>
          <w:rFonts w:hint="eastAsia" w:ascii="宋体" w:hAnsi="宋体" w:cs="宋体"/>
          <w:b/>
          <w:bCs/>
          <w:sz w:val="21"/>
          <w:szCs w:val="21"/>
        </w:rPr>
        <w:t>六、保密责任</w:t>
      </w:r>
    </w:p>
    <w:p>
      <w:pPr>
        <w:snapToGrid w:val="0"/>
        <w:spacing w:line="288" w:lineRule="auto"/>
        <w:ind w:firstLine="525" w:firstLineChars="250"/>
        <w:rPr>
          <w:rFonts w:ascii="宋体" w:hAnsi="宋体" w:cs="宋体"/>
          <w:bCs/>
          <w:sz w:val="21"/>
          <w:szCs w:val="21"/>
        </w:rPr>
      </w:pPr>
      <w:r>
        <w:rPr>
          <w:rFonts w:hint="eastAsia" w:ascii="宋体" w:hAnsi="宋体" w:cs="宋体"/>
          <w:sz w:val="21"/>
          <w:szCs w:val="21"/>
        </w:rPr>
        <w:t>乙方在项目实施期间所获得的甲方的情报和资料有保密义务，未经同意，不得擅自扩散或提供给第三方使用，泄漏秘密须承担相应责任。本保密责任条款不论本合同是否变更、解除、终止，本条款均有效。</w:t>
      </w:r>
    </w:p>
    <w:p>
      <w:pPr>
        <w:snapToGrid w:val="0"/>
        <w:spacing w:line="288" w:lineRule="auto"/>
        <w:ind w:firstLine="525" w:firstLineChars="250"/>
        <w:rPr>
          <w:rFonts w:ascii="宋体" w:hAnsi="宋体" w:cs="宋体"/>
          <w:sz w:val="21"/>
          <w:szCs w:val="21"/>
        </w:rPr>
      </w:pPr>
      <w:r>
        <w:rPr>
          <w:rFonts w:hint="eastAsia" w:ascii="宋体" w:hAnsi="宋体" w:cs="宋体"/>
          <w:sz w:val="21"/>
          <w:szCs w:val="21"/>
        </w:rPr>
        <w:t>根据国家信息安全管理和浙江大学的管理要求，供方承诺签订《浙江大学网络安全保密协议书》，在本项目中遵守相关条例。</w:t>
      </w:r>
    </w:p>
    <w:p>
      <w:pPr>
        <w:snapToGrid w:val="0"/>
        <w:spacing w:line="288" w:lineRule="auto"/>
        <w:rPr>
          <w:rFonts w:ascii="宋体" w:hAnsi="宋体" w:cs="宋体"/>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七、质保期及售后服务承诺：</w:t>
      </w:r>
    </w:p>
    <w:p>
      <w:pPr>
        <w:snapToGrid w:val="0"/>
        <w:spacing w:line="288" w:lineRule="auto"/>
        <w:ind w:firstLine="396" w:firstLineChars="200"/>
        <w:rPr>
          <w:rFonts w:ascii="宋体" w:hAnsi="宋体" w:cs="宋体"/>
          <w:bCs/>
          <w:sz w:val="21"/>
          <w:szCs w:val="21"/>
        </w:rPr>
      </w:pPr>
      <w:r>
        <w:rPr>
          <w:rFonts w:hint="eastAsia" w:ascii="宋体" w:hAnsi="宋体" w:cs="宋体"/>
          <w:spacing w:val="-6"/>
          <w:sz w:val="21"/>
          <w:szCs w:val="21"/>
        </w:rPr>
        <w:t>设备自验收合格后起保修</w:t>
      </w:r>
      <w:r>
        <w:rPr>
          <w:rFonts w:hint="eastAsia" w:ascii="宋体" w:hAnsi="宋体" w:cs="宋体"/>
          <w:spacing w:val="-6"/>
          <w:sz w:val="21"/>
          <w:szCs w:val="21"/>
          <w:u w:val="single"/>
        </w:rPr>
        <w:t xml:space="preserve">     </w:t>
      </w:r>
      <w:r>
        <w:rPr>
          <w:rFonts w:hint="eastAsia" w:ascii="宋体" w:hAnsi="宋体" w:cs="宋体"/>
          <w:spacing w:val="-6"/>
          <w:sz w:val="21"/>
          <w:szCs w:val="21"/>
        </w:rPr>
        <w:t>年。</w:t>
      </w:r>
      <w:r>
        <w:rPr>
          <w:rFonts w:hint="eastAsia" w:ascii="宋体" w:hAnsi="宋体" w:cs="宋体"/>
          <w:bCs/>
          <w:sz w:val="21"/>
          <w:szCs w:val="21"/>
        </w:rPr>
        <w:t>相关服务承诺如下：</w:t>
      </w:r>
    </w:p>
    <w:p>
      <w:pPr>
        <w:snapToGrid w:val="0"/>
        <w:spacing w:line="288" w:lineRule="auto"/>
        <w:ind w:firstLine="396" w:firstLineChars="200"/>
        <w:rPr>
          <w:rFonts w:ascii="宋体" w:hAnsi="宋体" w:cs="宋体"/>
          <w:bCs/>
          <w:sz w:val="21"/>
          <w:szCs w:val="21"/>
        </w:rPr>
      </w:pPr>
      <w:r>
        <w:rPr>
          <w:rFonts w:hint="eastAsia" w:ascii="宋体" w:hAnsi="宋体" w:cs="宋体"/>
          <w:spacing w:val="-6"/>
          <w:sz w:val="21"/>
          <w:szCs w:val="21"/>
        </w:rPr>
        <w:t>维修响应时间：</w:t>
      </w:r>
      <w:r>
        <w:rPr>
          <w:rFonts w:hint="eastAsia" w:ascii="宋体" w:hAnsi="宋体" w:cs="宋体"/>
          <w:spacing w:val="-6"/>
          <w:sz w:val="21"/>
          <w:szCs w:val="21"/>
          <w:u w:val="single"/>
        </w:rPr>
        <w:t xml:space="preserve">     </w:t>
      </w:r>
      <w:r>
        <w:rPr>
          <w:rFonts w:hint="eastAsia" w:ascii="宋体" w:hAnsi="宋体" w:cs="宋体"/>
          <w:spacing w:val="-6"/>
          <w:sz w:val="21"/>
          <w:szCs w:val="21"/>
        </w:rPr>
        <w:t>小时以内，电话技术支持；若需上门维修，则</w:t>
      </w:r>
      <w:r>
        <w:rPr>
          <w:rFonts w:hint="eastAsia" w:ascii="宋体" w:hAnsi="宋体" w:cs="宋体"/>
          <w:spacing w:val="-6"/>
          <w:sz w:val="21"/>
          <w:szCs w:val="21"/>
          <w:u w:val="single"/>
        </w:rPr>
        <w:t xml:space="preserve">     </w:t>
      </w:r>
      <w:r>
        <w:rPr>
          <w:rFonts w:hint="eastAsia" w:ascii="宋体" w:hAnsi="宋体" w:cs="宋体"/>
          <w:spacing w:val="-6"/>
          <w:sz w:val="21"/>
          <w:szCs w:val="21"/>
        </w:rPr>
        <w:t>小时内到达现场并进行维修；保修期后，供方继续为需方提供服务，服务仅收取零配件成本费，免人工费。供方保证有充足的备件，保证提供的所有设备、部件均无假冒伪劣产品，若发现全部退货或更换。保修内出现无法排除的故障，供方需无条件免费为需方更换同型号产品。</w:t>
      </w:r>
    </w:p>
    <w:p>
      <w:pPr>
        <w:snapToGrid w:val="0"/>
        <w:spacing w:line="288" w:lineRule="auto"/>
        <w:rPr>
          <w:rFonts w:ascii="宋体" w:hAnsi="宋体" w:cs="宋体"/>
          <w:bCs/>
          <w:sz w:val="21"/>
          <w:szCs w:val="21"/>
        </w:rPr>
      </w:pPr>
    </w:p>
    <w:p>
      <w:pPr>
        <w:snapToGrid w:val="0"/>
        <w:spacing w:line="288" w:lineRule="auto"/>
        <w:rPr>
          <w:rFonts w:ascii="宋体" w:hAnsi="宋体" w:cs="宋体"/>
          <w:b/>
          <w:bCs/>
          <w:sz w:val="21"/>
          <w:szCs w:val="21"/>
        </w:rPr>
      </w:pPr>
      <w:r>
        <w:rPr>
          <w:rFonts w:hint="eastAsia" w:ascii="宋体" w:hAnsi="宋体" w:cs="宋体"/>
          <w:b/>
          <w:bCs/>
          <w:sz w:val="21"/>
          <w:szCs w:val="21"/>
        </w:rPr>
        <w:t>八、货款：</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货到经安装调试，用户认定合格后，凭用户出具的安装调试报告支付90%货款；验收合格后凭用户出具的验收报告支付10%。</w:t>
      </w:r>
    </w:p>
    <w:p>
      <w:pPr>
        <w:pStyle w:val="11"/>
      </w:pPr>
    </w:p>
    <w:p>
      <w:pPr>
        <w:snapToGrid w:val="0"/>
        <w:spacing w:line="288" w:lineRule="auto"/>
        <w:rPr>
          <w:rFonts w:ascii="宋体" w:hAnsi="宋体" w:cs="宋体"/>
          <w:b/>
          <w:bCs/>
          <w:sz w:val="21"/>
          <w:szCs w:val="21"/>
        </w:rPr>
      </w:pPr>
      <w:r>
        <w:rPr>
          <w:rFonts w:hint="eastAsia" w:ascii="宋体" w:hAnsi="宋体" w:cs="宋体"/>
          <w:b/>
          <w:bCs/>
          <w:sz w:val="21"/>
          <w:szCs w:val="21"/>
        </w:rPr>
        <w:t>九、协议生效</w:t>
      </w:r>
    </w:p>
    <w:p>
      <w:pPr>
        <w:widowControl/>
        <w:snapToGrid w:val="0"/>
        <w:spacing w:line="288" w:lineRule="auto"/>
        <w:jc w:val="left"/>
        <w:rPr>
          <w:rFonts w:ascii="宋体" w:hAnsi="宋体" w:cs="宋体"/>
          <w:bCs/>
          <w:sz w:val="21"/>
          <w:szCs w:val="21"/>
        </w:rPr>
      </w:pPr>
      <w:r>
        <w:rPr>
          <w:rFonts w:hint="eastAsia" w:ascii="宋体" w:hAnsi="宋体" w:cs="宋体"/>
          <w:bCs/>
          <w:sz w:val="21"/>
          <w:szCs w:val="21"/>
        </w:rPr>
        <w:t>本协议经双方签字、盖公章后生效。</w:t>
      </w:r>
      <w:r>
        <w:rPr>
          <w:rFonts w:hint="eastAsia" w:ascii="宋体" w:hAnsi="宋体" w:cs="宋体"/>
          <w:kern w:val="0"/>
          <w:sz w:val="21"/>
          <w:szCs w:val="21"/>
        </w:rPr>
        <w:t>协议内容除签字人签字、单位盖章、签署日期外，其余均应打印前输入，手写无效。</w:t>
      </w:r>
      <w:r>
        <w:rPr>
          <w:rFonts w:hint="eastAsia" w:ascii="宋体" w:hAnsi="宋体" w:cs="宋体"/>
          <w:bCs/>
          <w:sz w:val="21"/>
          <w:szCs w:val="21"/>
        </w:rPr>
        <w:t>协议内容如与采购文件、投标文件及供方书面相关承诺等不一致的，按有利于需方为准。本协议一式</w:t>
      </w:r>
      <w:r>
        <w:rPr>
          <w:rFonts w:hint="eastAsia" w:ascii="宋体" w:hAnsi="宋体" w:cs="宋体"/>
          <w:bCs/>
          <w:i/>
          <w:iCs/>
          <w:sz w:val="21"/>
          <w:szCs w:val="21"/>
        </w:rPr>
        <w:t>六</w:t>
      </w:r>
      <w:r>
        <w:rPr>
          <w:rFonts w:hint="eastAsia" w:ascii="宋体" w:hAnsi="宋体" w:cs="宋体"/>
          <w:bCs/>
          <w:sz w:val="21"/>
          <w:szCs w:val="21"/>
        </w:rPr>
        <w:t>份，供需双方及采购代理机构各执</w:t>
      </w:r>
      <w:r>
        <w:rPr>
          <w:rFonts w:hint="eastAsia" w:ascii="宋体" w:hAnsi="宋体" w:cs="宋体"/>
          <w:bCs/>
          <w:i/>
          <w:sz w:val="21"/>
          <w:szCs w:val="21"/>
        </w:rPr>
        <w:t>贰</w:t>
      </w:r>
      <w:r>
        <w:rPr>
          <w:rFonts w:hint="eastAsia" w:ascii="宋体" w:hAnsi="宋体" w:cs="宋体"/>
          <w:bCs/>
          <w:sz w:val="21"/>
          <w:szCs w:val="21"/>
        </w:rPr>
        <w:t>份。</w:t>
      </w:r>
    </w:p>
    <w:p>
      <w:pPr>
        <w:rPr>
          <w:rFonts w:ascii="Calibri" w:hAnsi="Calibri"/>
        </w:rPr>
      </w:pPr>
      <w:r>
        <w:rPr>
          <w:rFonts w:ascii="Calibri" w:hAnsi="Calibri"/>
        </w:rPr>
        <w:br w:type="page"/>
      </w:r>
    </w:p>
    <w:p>
      <w:pPr>
        <w:snapToGrid w:val="0"/>
        <w:spacing w:line="288" w:lineRule="auto"/>
        <w:outlineLvl w:val="0"/>
        <w:rPr>
          <w:rFonts w:ascii="宋体" w:hAnsi="宋体" w:cs="宋体"/>
          <w:b/>
          <w:sz w:val="21"/>
          <w:szCs w:val="21"/>
        </w:rPr>
      </w:pPr>
      <w:r>
        <w:rPr>
          <w:rFonts w:hint="eastAsia" w:ascii="宋体" w:hAnsi="宋体" w:cs="宋体"/>
          <w:b/>
          <w:sz w:val="21"/>
          <w:szCs w:val="21"/>
        </w:rPr>
        <w:t>协议签约方</w:t>
      </w:r>
    </w:p>
    <w:tbl>
      <w:tblPr>
        <w:tblStyle w:val="2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6"/>
        <w:gridCol w:w="1665"/>
        <w:gridCol w:w="2325"/>
        <w:gridCol w:w="1560"/>
        <w:gridCol w:w="210"/>
        <w:gridCol w:w="2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需方</w:t>
            </w:r>
          </w:p>
          <w:p>
            <w:pPr>
              <w:snapToGrid w:val="0"/>
              <w:spacing w:line="288" w:lineRule="auto"/>
              <w:rPr>
                <w:rFonts w:ascii="宋体" w:hAnsi="宋体" w:cs="宋体"/>
                <w:sz w:val="21"/>
                <w:szCs w:val="21"/>
              </w:rPr>
            </w:pPr>
          </w:p>
          <w:p>
            <w:pPr>
              <w:snapToGrid w:val="0"/>
              <w:spacing w:line="288" w:lineRule="auto"/>
              <w:rPr>
                <w:rFonts w:ascii="宋体" w:hAnsi="宋体" w:cs="宋体"/>
                <w:sz w:val="21"/>
                <w:szCs w:val="21"/>
              </w:rPr>
            </w:pPr>
            <w:r>
              <w:rPr>
                <w:rFonts w:hint="eastAsia" w:ascii="宋体" w:hAnsi="宋体" w:cs="宋体"/>
                <w:sz w:val="21"/>
                <w:szCs w:val="21"/>
              </w:rPr>
              <w:t>甲方</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名称</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i/>
                <w:iCs/>
                <w:sz w:val="21"/>
                <w:szCs w:val="21"/>
              </w:rPr>
            </w:pPr>
            <w:r>
              <w:rPr>
                <w:rFonts w:hint="eastAsia" w:ascii="宋体" w:hAnsi="宋体" w:cs="宋体"/>
                <w:i/>
                <w:iCs/>
                <w:sz w:val="21"/>
                <w:szCs w:val="21"/>
              </w:rPr>
              <w:t>浙江大学信息中心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地址</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i/>
                <w:iCs/>
                <w:sz w:val="21"/>
                <w:szCs w:val="21"/>
              </w:rPr>
            </w:pPr>
            <w:r>
              <w:rPr>
                <w:rFonts w:hint="eastAsia" w:ascii="宋体" w:hAnsi="宋体" w:cs="宋体"/>
                <w:i/>
                <w:iCs/>
                <w:sz w:val="21"/>
                <w:szCs w:val="21"/>
              </w:rPr>
              <w:t>余杭塘路388号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邮政编码</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i/>
                <w:iCs/>
                <w:sz w:val="21"/>
                <w:szCs w:val="21"/>
              </w:rPr>
            </w:pPr>
            <w:r>
              <w:rPr>
                <w:rFonts w:hint="eastAsia" w:ascii="宋体" w:hAnsi="宋体" w:cs="宋体"/>
                <w:i/>
                <w:iCs/>
                <w:sz w:val="21"/>
                <w:szCs w:val="21"/>
              </w:rPr>
              <w:t>310058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授权代理人</w:t>
            </w:r>
          </w:p>
        </w:tc>
        <w:tc>
          <w:tcPr>
            <w:tcW w:w="23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签署日期</w:t>
            </w:r>
          </w:p>
        </w:tc>
        <w:tc>
          <w:tcPr>
            <w:tcW w:w="21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电话</w:t>
            </w:r>
          </w:p>
        </w:tc>
        <w:tc>
          <w:tcPr>
            <w:tcW w:w="23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i/>
                <w:iCs/>
                <w:sz w:val="21"/>
                <w:szCs w:val="21"/>
              </w:rPr>
              <w:t>0571-88206106</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传真</w:t>
            </w:r>
          </w:p>
        </w:tc>
        <w:tc>
          <w:tcPr>
            <w:tcW w:w="21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i/>
                <w:iCs/>
                <w:sz w:val="21"/>
                <w:szCs w:val="21"/>
              </w:rPr>
              <w:t>0571-87951670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开户银行</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帐号</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供方</w:t>
            </w:r>
          </w:p>
          <w:p>
            <w:pPr>
              <w:snapToGrid w:val="0"/>
              <w:spacing w:line="288" w:lineRule="auto"/>
              <w:rPr>
                <w:rFonts w:ascii="宋体" w:hAnsi="宋体" w:cs="宋体"/>
                <w:sz w:val="21"/>
                <w:szCs w:val="21"/>
              </w:rPr>
            </w:pPr>
          </w:p>
          <w:p>
            <w:pPr>
              <w:snapToGrid w:val="0"/>
              <w:spacing w:line="288" w:lineRule="auto"/>
              <w:rPr>
                <w:rFonts w:ascii="宋体" w:hAnsi="宋体" w:cs="宋体"/>
                <w:sz w:val="21"/>
                <w:szCs w:val="21"/>
              </w:rPr>
            </w:pPr>
            <w:r>
              <w:rPr>
                <w:rFonts w:hint="eastAsia" w:ascii="宋体" w:hAnsi="宋体" w:cs="宋体"/>
                <w:sz w:val="21"/>
                <w:szCs w:val="21"/>
              </w:rPr>
              <w:t>乙方</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名称（盖章）</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地址</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邮政编码</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授权代理人</w:t>
            </w:r>
          </w:p>
        </w:tc>
        <w:tc>
          <w:tcPr>
            <w:tcW w:w="23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签署日期</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电话</w:t>
            </w:r>
          </w:p>
        </w:tc>
        <w:tc>
          <w:tcPr>
            <w:tcW w:w="232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传真</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开户银行</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z w:val="21"/>
                <w:szCs w:val="21"/>
              </w:rPr>
            </w:pPr>
            <w:r>
              <w:rPr>
                <w:rFonts w:hint="eastAsia" w:ascii="宋体" w:hAnsi="宋体" w:cs="宋体"/>
                <w:sz w:val="21"/>
                <w:szCs w:val="21"/>
              </w:rPr>
              <w:t>账号</w:t>
            </w:r>
          </w:p>
        </w:tc>
        <w:tc>
          <w:tcPr>
            <w:tcW w:w="619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sz w:val="21"/>
                <w:szCs w:val="21"/>
              </w:rPr>
            </w:pPr>
            <w:r>
              <w:rPr>
                <w:rFonts w:hint="eastAsia" w:ascii="宋体" w:hAnsi="宋体" w:cs="宋体"/>
                <w:sz w:val="21"/>
                <w:szCs w:val="21"/>
              </w:rPr>
              <w:t xml:space="preserve"> </w:t>
            </w:r>
          </w:p>
        </w:tc>
      </w:tr>
    </w:tbl>
    <w:p>
      <w:pPr>
        <w:rPr>
          <w:rFonts w:ascii="Calibri" w:hAnsi="Calibri"/>
        </w:rPr>
      </w:pPr>
      <w:r>
        <w:rPr>
          <w:rFonts w:ascii="Calibri" w:hAnsi="Calibri"/>
        </w:rPr>
        <w:br w:type="page"/>
      </w:r>
    </w:p>
    <w:p>
      <w:pPr>
        <w:snapToGrid w:val="0"/>
        <w:spacing w:line="288" w:lineRule="auto"/>
        <w:rPr>
          <w:rFonts w:ascii="宋体" w:hAnsi="宋体" w:cs="宋体"/>
          <w:sz w:val="21"/>
          <w:szCs w:val="21"/>
        </w:rPr>
      </w:pPr>
      <w:r>
        <w:rPr>
          <w:rFonts w:hint="eastAsia" w:ascii="宋体" w:hAnsi="宋体" w:cs="宋体"/>
          <w:sz w:val="21"/>
          <w:szCs w:val="21"/>
        </w:rPr>
        <w:t>根据政府采购的要求，合同需要公示，此页请单独一页，以方便公示时删去。</w:t>
      </w:r>
    </w:p>
    <w:tbl>
      <w:tblPr>
        <w:tblStyle w:val="23"/>
        <w:tblW w:w="5000" w:type="pct"/>
        <w:jc w:val="right"/>
        <w:tblLayout w:type="autofit"/>
        <w:tblCellMar>
          <w:top w:w="0" w:type="dxa"/>
          <w:left w:w="108" w:type="dxa"/>
          <w:bottom w:w="0" w:type="dxa"/>
          <w:right w:w="108" w:type="dxa"/>
        </w:tblCellMar>
      </w:tblPr>
      <w:tblGrid>
        <w:gridCol w:w="4829"/>
        <w:gridCol w:w="4799"/>
      </w:tblGrid>
      <w:tr>
        <w:tblPrEx>
          <w:tblCellMar>
            <w:top w:w="0" w:type="dxa"/>
            <w:left w:w="108" w:type="dxa"/>
            <w:bottom w:w="0" w:type="dxa"/>
            <w:right w:w="108" w:type="dxa"/>
          </w:tblCellMar>
        </w:tblPrEx>
        <w:trPr>
          <w:trHeight w:val="397" w:hRule="atLeast"/>
          <w:jc w:val="right"/>
        </w:trPr>
        <w:tc>
          <w:tcPr>
            <w:tcW w:w="5000"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FF0000"/>
                <w:spacing w:val="-6"/>
                <w:sz w:val="21"/>
                <w:szCs w:val="21"/>
              </w:rPr>
            </w:pPr>
            <w:r>
              <w:rPr>
                <w:rFonts w:hint="eastAsia" w:ascii="宋体" w:hAnsi="宋体" w:cs="宋体"/>
                <w:spacing w:val="-6"/>
                <w:sz w:val="21"/>
                <w:szCs w:val="21"/>
              </w:rPr>
              <w:t>双方信息</w:t>
            </w:r>
          </w:p>
        </w:tc>
      </w:tr>
      <w:tr>
        <w:tblPrEx>
          <w:tblCellMar>
            <w:top w:w="0" w:type="dxa"/>
            <w:left w:w="108" w:type="dxa"/>
            <w:bottom w:w="0" w:type="dxa"/>
            <w:right w:w="108" w:type="dxa"/>
          </w:tblCellMar>
        </w:tblPrEx>
        <w:trPr>
          <w:trHeight w:val="397" w:hRule="atLeast"/>
          <w:jc w:val="right"/>
        </w:trPr>
        <w:tc>
          <w:tcPr>
            <w:tcW w:w="2508"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pacing w:val="-6"/>
                <w:sz w:val="21"/>
                <w:szCs w:val="21"/>
              </w:rPr>
              <w:t>需方签字人信息</w:t>
            </w:r>
          </w:p>
          <w:p>
            <w:pPr>
              <w:snapToGrid w:val="0"/>
              <w:spacing w:line="288" w:lineRule="auto"/>
              <w:rPr>
                <w:rFonts w:ascii="宋体" w:hAnsi="宋体" w:cs="宋体"/>
                <w:spacing w:val="-6"/>
                <w:sz w:val="21"/>
                <w:szCs w:val="21"/>
              </w:rPr>
            </w:pPr>
            <w:r>
              <w:rPr>
                <w:rFonts w:hint="eastAsia" w:ascii="宋体" w:hAnsi="宋体" w:cs="宋体"/>
                <w:spacing w:val="-6"/>
                <w:sz w:val="21"/>
                <w:szCs w:val="21"/>
              </w:rPr>
              <w:t>姓名:</w:t>
            </w:r>
          </w:p>
          <w:p>
            <w:pPr>
              <w:snapToGrid w:val="0"/>
              <w:spacing w:line="288" w:lineRule="auto"/>
              <w:rPr>
                <w:rFonts w:ascii="宋体" w:hAnsi="宋体" w:cs="宋体"/>
                <w:spacing w:val="-6"/>
                <w:sz w:val="21"/>
                <w:szCs w:val="21"/>
              </w:rPr>
            </w:pPr>
            <w:r>
              <w:rPr>
                <w:rFonts w:hint="eastAsia" w:ascii="宋体" w:hAnsi="宋体" w:cs="宋体"/>
                <w:spacing w:val="-6"/>
                <w:sz w:val="21"/>
                <w:szCs w:val="21"/>
              </w:rPr>
              <w:t>工号:</w:t>
            </w:r>
          </w:p>
          <w:p>
            <w:pPr>
              <w:snapToGrid w:val="0"/>
              <w:spacing w:line="288" w:lineRule="auto"/>
              <w:rPr>
                <w:rFonts w:ascii="宋体" w:hAnsi="宋体" w:cs="宋体"/>
                <w:spacing w:val="-6"/>
                <w:sz w:val="21"/>
                <w:szCs w:val="21"/>
              </w:rPr>
            </w:pPr>
            <w:r>
              <w:rPr>
                <w:rFonts w:hint="eastAsia" w:ascii="宋体" w:hAnsi="宋体" w:cs="宋体"/>
                <w:spacing w:val="-6"/>
                <w:sz w:val="21"/>
                <w:szCs w:val="21"/>
              </w:rPr>
              <w:t>手机:</w:t>
            </w:r>
          </w:p>
          <w:p>
            <w:pPr>
              <w:snapToGrid w:val="0"/>
              <w:spacing w:line="288" w:lineRule="auto"/>
              <w:rPr>
                <w:rFonts w:ascii="宋体" w:hAnsi="宋体" w:cs="宋体"/>
                <w:spacing w:val="-6"/>
                <w:sz w:val="21"/>
                <w:szCs w:val="21"/>
              </w:rPr>
            </w:pPr>
            <w:r>
              <w:rPr>
                <w:rFonts w:hint="eastAsia" w:ascii="宋体" w:hAnsi="宋体" w:cs="宋体"/>
                <w:spacing w:val="-6"/>
                <w:sz w:val="21"/>
                <w:szCs w:val="21"/>
              </w:rPr>
              <w:t xml:space="preserve">Email: </w:t>
            </w:r>
          </w:p>
        </w:tc>
        <w:tc>
          <w:tcPr>
            <w:tcW w:w="2491"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pacing w:val="-6"/>
                <w:sz w:val="21"/>
                <w:szCs w:val="21"/>
              </w:rPr>
              <w:t>供方签字人信息</w:t>
            </w:r>
          </w:p>
          <w:p>
            <w:pPr>
              <w:snapToGrid w:val="0"/>
              <w:spacing w:line="288" w:lineRule="auto"/>
              <w:rPr>
                <w:rFonts w:ascii="宋体" w:hAnsi="宋体" w:cs="宋体"/>
                <w:spacing w:val="-6"/>
                <w:sz w:val="21"/>
                <w:szCs w:val="21"/>
              </w:rPr>
            </w:pPr>
            <w:r>
              <w:rPr>
                <w:rFonts w:hint="eastAsia" w:ascii="宋体" w:hAnsi="宋体" w:cs="宋体"/>
                <w:spacing w:val="-6"/>
                <w:sz w:val="21"/>
                <w:szCs w:val="21"/>
              </w:rPr>
              <w:t>姓名:</w:t>
            </w:r>
          </w:p>
          <w:p>
            <w:pPr>
              <w:snapToGrid w:val="0"/>
              <w:spacing w:line="288" w:lineRule="auto"/>
              <w:rPr>
                <w:rFonts w:ascii="宋体" w:hAnsi="宋体" w:cs="宋体"/>
                <w:spacing w:val="-6"/>
                <w:sz w:val="21"/>
                <w:szCs w:val="21"/>
              </w:rPr>
            </w:pPr>
            <w:r>
              <w:rPr>
                <w:rFonts w:hint="eastAsia" w:ascii="宋体" w:hAnsi="宋体" w:cs="宋体"/>
                <w:spacing w:val="-6"/>
                <w:sz w:val="21"/>
                <w:szCs w:val="21"/>
              </w:rPr>
              <w:t>身份证号:</w:t>
            </w:r>
          </w:p>
          <w:p>
            <w:pPr>
              <w:snapToGrid w:val="0"/>
              <w:spacing w:line="288" w:lineRule="auto"/>
              <w:rPr>
                <w:rFonts w:ascii="宋体" w:hAnsi="宋体" w:cs="宋体"/>
                <w:spacing w:val="-6"/>
                <w:sz w:val="21"/>
                <w:szCs w:val="21"/>
              </w:rPr>
            </w:pPr>
            <w:r>
              <w:rPr>
                <w:rFonts w:hint="eastAsia" w:ascii="宋体" w:hAnsi="宋体" w:cs="宋体"/>
                <w:spacing w:val="-6"/>
                <w:sz w:val="21"/>
                <w:szCs w:val="21"/>
              </w:rPr>
              <w:t>手机:</w:t>
            </w:r>
          </w:p>
          <w:p>
            <w:pPr>
              <w:snapToGrid w:val="0"/>
              <w:spacing w:line="288" w:lineRule="auto"/>
              <w:rPr>
                <w:rFonts w:ascii="宋体" w:hAnsi="宋体" w:cs="宋体"/>
                <w:spacing w:val="-6"/>
                <w:sz w:val="21"/>
                <w:szCs w:val="21"/>
              </w:rPr>
            </w:pPr>
            <w:r>
              <w:rPr>
                <w:rFonts w:hint="eastAsia" w:ascii="宋体" w:hAnsi="宋体" w:cs="宋体"/>
                <w:spacing w:val="-6"/>
                <w:sz w:val="21"/>
                <w:szCs w:val="21"/>
              </w:rPr>
              <w:t>Email:</w:t>
            </w:r>
            <w:r>
              <w:rPr>
                <w:rFonts w:hint="eastAsia" w:ascii="宋体" w:hAnsi="宋体" w:cs="宋体"/>
                <w:spacing w:val="-6"/>
                <w:sz w:val="21"/>
                <w:szCs w:val="21"/>
              </w:rPr>
              <w:tab/>
            </w:r>
          </w:p>
        </w:tc>
      </w:tr>
      <w:tr>
        <w:tblPrEx>
          <w:tblCellMar>
            <w:top w:w="0" w:type="dxa"/>
            <w:left w:w="108" w:type="dxa"/>
            <w:bottom w:w="0" w:type="dxa"/>
            <w:right w:w="108" w:type="dxa"/>
          </w:tblCellMar>
        </w:tblPrEx>
        <w:trPr>
          <w:trHeight w:val="397" w:hRule="atLeast"/>
          <w:jc w:val="right"/>
        </w:trPr>
        <w:tc>
          <w:tcPr>
            <w:tcW w:w="2508"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pacing w:val="-6"/>
                <w:sz w:val="21"/>
                <w:szCs w:val="21"/>
              </w:rPr>
              <w:t>需方联系人信息（如与签字人相同，可不填）</w:t>
            </w:r>
          </w:p>
          <w:p>
            <w:pPr>
              <w:snapToGrid w:val="0"/>
              <w:spacing w:line="288" w:lineRule="auto"/>
              <w:rPr>
                <w:rFonts w:ascii="宋体" w:hAnsi="宋体" w:cs="宋体"/>
                <w:spacing w:val="-6"/>
                <w:sz w:val="21"/>
                <w:szCs w:val="21"/>
              </w:rPr>
            </w:pPr>
            <w:r>
              <w:rPr>
                <w:rFonts w:hint="eastAsia" w:ascii="宋体" w:hAnsi="宋体" w:cs="宋体"/>
                <w:spacing w:val="-6"/>
                <w:sz w:val="21"/>
                <w:szCs w:val="21"/>
              </w:rPr>
              <w:t>姓名:</w:t>
            </w:r>
          </w:p>
          <w:p>
            <w:pPr>
              <w:snapToGrid w:val="0"/>
              <w:spacing w:line="288" w:lineRule="auto"/>
              <w:rPr>
                <w:rFonts w:ascii="宋体" w:hAnsi="宋体" w:cs="宋体"/>
                <w:spacing w:val="-6"/>
                <w:sz w:val="21"/>
                <w:szCs w:val="21"/>
              </w:rPr>
            </w:pPr>
            <w:r>
              <w:rPr>
                <w:rFonts w:hint="eastAsia" w:ascii="宋体" w:hAnsi="宋体" w:cs="宋体"/>
                <w:spacing w:val="-6"/>
                <w:sz w:val="21"/>
                <w:szCs w:val="21"/>
              </w:rPr>
              <w:t>工号或学号:</w:t>
            </w:r>
          </w:p>
          <w:p>
            <w:pPr>
              <w:snapToGrid w:val="0"/>
              <w:spacing w:line="288" w:lineRule="auto"/>
              <w:rPr>
                <w:rFonts w:ascii="宋体" w:hAnsi="宋体" w:cs="宋体"/>
                <w:spacing w:val="-6"/>
                <w:sz w:val="21"/>
                <w:szCs w:val="21"/>
              </w:rPr>
            </w:pPr>
            <w:r>
              <w:rPr>
                <w:rFonts w:hint="eastAsia" w:ascii="宋体" w:hAnsi="宋体" w:cs="宋体"/>
                <w:spacing w:val="-6"/>
                <w:sz w:val="21"/>
                <w:szCs w:val="21"/>
              </w:rPr>
              <w:t>手机:</w:t>
            </w:r>
          </w:p>
          <w:p>
            <w:pPr>
              <w:snapToGrid w:val="0"/>
              <w:spacing w:line="288" w:lineRule="auto"/>
              <w:rPr>
                <w:rFonts w:ascii="宋体" w:hAnsi="宋体" w:cs="宋体"/>
                <w:spacing w:val="-6"/>
                <w:sz w:val="21"/>
                <w:szCs w:val="21"/>
              </w:rPr>
            </w:pPr>
            <w:r>
              <w:rPr>
                <w:rFonts w:hint="eastAsia" w:ascii="宋体" w:hAnsi="宋体" w:cs="宋体"/>
                <w:spacing w:val="-6"/>
                <w:sz w:val="21"/>
                <w:szCs w:val="21"/>
              </w:rPr>
              <w:t>Email:</w:t>
            </w:r>
          </w:p>
        </w:tc>
        <w:tc>
          <w:tcPr>
            <w:tcW w:w="2491"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pacing w:val="-6"/>
                <w:sz w:val="21"/>
                <w:szCs w:val="21"/>
              </w:rPr>
              <w:t>供方联系人信息（如与签字人相同，可不填）</w:t>
            </w:r>
          </w:p>
          <w:p>
            <w:pPr>
              <w:snapToGrid w:val="0"/>
              <w:spacing w:line="288" w:lineRule="auto"/>
              <w:rPr>
                <w:rFonts w:ascii="宋体" w:hAnsi="宋体" w:cs="宋体"/>
                <w:spacing w:val="-6"/>
                <w:sz w:val="21"/>
                <w:szCs w:val="21"/>
              </w:rPr>
            </w:pPr>
            <w:r>
              <w:rPr>
                <w:rFonts w:hint="eastAsia" w:ascii="宋体" w:hAnsi="宋体" w:cs="宋体"/>
                <w:spacing w:val="-6"/>
                <w:sz w:val="21"/>
                <w:szCs w:val="21"/>
              </w:rPr>
              <w:t>姓名:</w:t>
            </w:r>
          </w:p>
          <w:p>
            <w:pPr>
              <w:snapToGrid w:val="0"/>
              <w:spacing w:line="288" w:lineRule="auto"/>
              <w:rPr>
                <w:rFonts w:ascii="宋体" w:hAnsi="宋体" w:cs="宋体"/>
                <w:spacing w:val="-6"/>
                <w:sz w:val="21"/>
                <w:szCs w:val="21"/>
              </w:rPr>
            </w:pPr>
            <w:r>
              <w:rPr>
                <w:rFonts w:hint="eastAsia" w:ascii="宋体" w:hAnsi="宋体" w:cs="宋体"/>
                <w:spacing w:val="-6"/>
                <w:sz w:val="21"/>
                <w:szCs w:val="21"/>
              </w:rPr>
              <w:t>身份证号:</w:t>
            </w:r>
          </w:p>
          <w:p>
            <w:pPr>
              <w:snapToGrid w:val="0"/>
              <w:spacing w:line="288" w:lineRule="auto"/>
              <w:rPr>
                <w:rFonts w:ascii="宋体" w:hAnsi="宋体" w:cs="宋体"/>
                <w:spacing w:val="-6"/>
                <w:sz w:val="21"/>
                <w:szCs w:val="21"/>
              </w:rPr>
            </w:pPr>
            <w:r>
              <w:rPr>
                <w:rFonts w:hint="eastAsia" w:ascii="宋体" w:hAnsi="宋体" w:cs="宋体"/>
                <w:spacing w:val="-6"/>
                <w:sz w:val="21"/>
                <w:szCs w:val="21"/>
              </w:rPr>
              <w:t>手机:</w:t>
            </w:r>
          </w:p>
          <w:p>
            <w:pPr>
              <w:snapToGrid w:val="0"/>
              <w:spacing w:line="288" w:lineRule="auto"/>
              <w:rPr>
                <w:rFonts w:ascii="宋体" w:hAnsi="宋体" w:cs="宋体"/>
                <w:spacing w:val="-6"/>
                <w:sz w:val="21"/>
                <w:szCs w:val="21"/>
              </w:rPr>
            </w:pPr>
            <w:r>
              <w:rPr>
                <w:rFonts w:hint="eastAsia" w:ascii="宋体" w:hAnsi="宋体" w:cs="宋体"/>
                <w:spacing w:val="-6"/>
                <w:sz w:val="21"/>
                <w:szCs w:val="21"/>
              </w:rPr>
              <w:t>Email:</w:t>
            </w:r>
            <w:r>
              <w:rPr>
                <w:rFonts w:hint="eastAsia" w:ascii="宋体" w:hAnsi="宋体" w:cs="宋体"/>
                <w:spacing w:val="-6"/>
                <w:sz w:val="21"/>
                <w:szCs w:val="21"/>
              </w:rPr>
              <w:tab/>
            </w:r>
          </w:p>
        </w:tc>
      </w:tr>
      <w:tr>
        <w:tblPrEx>
          <w:tblCellMar>
            <w:top w:w="0" w:type="dxa"/>
            <w:left w:w="108" w:type="dxa"/>
            <w:bottom w:w="0" w:type="dxa"/>
            <w:right w:w="108" w:type="dxa"/>
          </w:tblCellMar>
        </w:tblPrEx>
        <w:trPr>
          <w:trHeight w:val="397" w:hRule="atLeast"/>
          <w:jc w:val="right"/>
        </w:trPr>
        <w:tc>
          <w:tcPr>
            <w:tcW w:w="5000"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z w:val="21"/>
                <w:szCs w:val="21"/>
              </w:rPr>
              <w:t>设备交付地点（送货前再确认，可经双方同意后变更至校内其他地址）：</w:t>
            </w:r>
          </w:p>
        </w:tc>
      </w:tr>
      <w:tr>
        <w:tblPrEx>
          <w:tblCellMar>
            <w:top w:w="0" w:type="dxa"/>
            <w:left w:w="108" w:type="dxa"/>
            <w:bottom w:w="0" w:type="dxa"/>
            <w:right w:w="108" w:type="dxa"/>
          </w:tblCellMar>
        </w:tblPrEx>
        <w:trPr>
          <w:trHeight w:val="397" w:hRule="atLeast"/>
          <w:jc w:val="right"/>
        </w:trPr>
        <w:tc>
          <w:tcPr>
            <w:tcW w:w="5000"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spacing w:val="-6"/>
                <w:sz w:val="21"/>
                <w:szCs w:val="21"/>
              </w:rPr>
            </w:pPr>
            <w:r>
              <w:rPr>
                <w:rFonts w:hint="eastAsia" w:ascii="宋体" w:hAnsi="宋体" w:cs="宋体"/>
                <w:spacing w:val="-6"/>
                <w:sz w:val="21"/>
                <w:szCs w:val="21"/>
              </w:rPr>
              <w:t>浙江大学              校区              楼               室</w:t>
            </w:r>
          </w:p>
          <w:p>
            <w:pPr>
              <w:snapToGrid w:val="0"/>
              <w:spacing w:line="288" w:lineRule="auto"/>
              <w:rPr>
                <w:rFonts w:ascii="宋体" w:hAnsi="宋体" w:cs="宋体"/>
                <w:spacing w:val="-6"/>
                <w:sz w:val="21"/>
                <w:szCs w:val="21"/>
              </w:rPr>
            </w:pPr>
            <w:r>
              <w:rPr>
                <w:rFonts w:hint="eastAsia" w:ascii="宋体" w:hAnsi="宋体" w:cs="宋体"/>
                <w:spacing w:val="-6"/>
                <w:sz w:val="21"/>
                <w:szCs w:val="21"/>
              </w:rPr>
              <w:t xml:space="preserve">                       医院              楼               室</w:t>
            </w:r>
          </w:p>
        </w:tc>
      </w:tr>
    </w:tbl>
    <w:p>
      <w:pPr>
        <w:snapToGrid w:val="0"/>
        <w:spacing w:line="288" w:lineRule="auto"/>
        <w:rPr>
          <w:rFonts w:ascii="宋体" w:hAnsi="宋体" w:cs="宋体"/>
          <w:spacing w:val="-6"/>
          <w:sz w:val="21"/>
          <w:szCs w:val="21"/>
        </w:rPr>
      </w:pPr>
      <w:r>
        <w:rPr>
          <w:rFonts w:hint="eastAsia" w:ascii="宋体" w:hAnsi="宋体" w:cs="宋体"/>
          <w:spacing w:val="-6"/>
          <w:sz w:val="21"/>
          <w:szCs w:val="21"/>
        </w:rPr>
        <w:t>注：1、上表内容，请打印前输入完整，不要手写</w:t>
      </w:r>
    </w:p>
    <w:p>
      <w:pPr>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2、需方签字人，应为项目负责人</w:t>
      </w:r>
    </w:p>
    <w:p>
      <w:pPr>
        <w:snapToGrid w:val="0"/>
        <w:spacing w:line="288" w:lineRule="auto"/>
        <w:ind w:firstLine="396" w:firstLineChars="200"/>
        <w:rPr>
          <w:rFonts w:ascii="Calibri" w:hAnsi="Calibri"/>
        </w:rPr>
      </w:pPr>
      <w:r>
        <w:rPr>
          <w:rFonts w:hint="eastAsia" w:ascii="宋体" w:hAnsi="宋体" w:cs="宋体"/>
          <w:spacing w:val="-6"/>
          <w:sz w:val="21"/>
          <w:szCs w:val="21"/>
        </w:rPr>
        <w:t>3、需方，应为院级单位，并盖院级公章</w:t>
      </w:r>
      <w:r>
        <w:rPr>
          <w:rFonts w:ascii="Calibri" w:hAnsi="Calibri"/>
        </w:rPr>
        <w:br w:type="page"/>
      </w:r>
      <w:r>
        <w:rPr>
          <w:rFonts w:hint="eastAsia" w:ascii="Calibri" w:hAnsi="Calibri"/>
          <w:sz w:val="24"/>
        </w:rPr>
        <w:t>根据政府采购的要求，合同需要公示，</w:t>
      </w:r>
      <w:r>
        <w:rPr>
          <w:rFonts w:hint="eastAsia" w:ascii="Calibri" w:hAnsi="Calibri"/>
          <w:b/>
          <w:bCs/>
          <w:sz w:val="24"/>
        </w:rPr>
        <w:t>此页请单独一页</w:t>
      </w:r>
      <w:r>
        <w:rPr>
          <w:rFonts w:hint="eastAsia" w:ascii="Calibri" w:hAnsi="Calibri"/>
          <w:sz w:val="24"/>
        </w:rPr>
        <w:t>，以方便公示时删去。</w:t>
      </w:r>
    </w:p>
    <w:tbl>
      <w:tblPr>
        <w:tblStyle w:val="23"/>
        <w:tblW w:w="5000" w:type="pct"/>
        <w:jc w:val="center"/>
        <w:tblLayout w:type="autofit"/>
        <w:tblCellMar>
          <w:top w:w="0" w:type="dxa"/>
          <w:left w:w="108" w:type="dxa"/>
          <w:bottom w:w="0" w:type="dxa"/>
          <w:right w:w="108" w:type="dxa"/>
        </w:tblCellMar>
      </w:tblPr>
      <w:tblGrid>
        <w:gridCol w:w="4829"/>
        <w:gridCol w:w="4799"/>
      </w:tblGrid>
      <w:tr>
        <w:tblPrEx>
          <w:tblCellMar>
            <w:top w:w="0" w:type="dxa"/>
            <w:left w:w="108" w:type="dxa"/>
            <w:bottom w:w="0" w:type="dxa"/>
            <w:right w:w="108" w:type="dxa"/>
          </w:tblCellMar>
        </w:tblPrEx>
        <w:trPr>
          <w:trHeight w:val="397"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pacing w:val="-6"/>
                <w:sz w:val="21"/>
                <w:szCs w:val="21"/>
              </w:rPr>
            </w:pPr>
            <w:r>
              <w:rPr>
                <w:rFonts w:hint="eastAsia" w:ascii="宋体" w:hAnsi="宋体"/>
                <w:spacing w:val="-6"/>
                <w:sz w:val="21"/>
                <w:szCs w:val="21"/>
              </w:rPr>
              <w:t>双方信息</w:t>
            </w:r>
          </w:p>
        </w:tc>
      </w:tr>
      <w:tr>
        <w:tblPrEx>
          <w:tblCellMar>
            <w:top w:w="0" w:type="dxa"/>
            <w:left w:w="108" w:type="dxa"/>
            <w:bottom w:w="0" w:type="dxa"/>
            <w:right w:w="108" w:type="dxa"/>
          </w:tblCellMar>
        </w:tblPrEx>
        <w:trPr>
          <w:trHeight w:val="397" w:hRule="atLeast"/>
          <w:jc w:val="center"/>
        </w:trPr>
        <w:tc>
          <w:tcPr>
            <w:tcW w:w="2508" w:type="pct"/>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需方签字人信息</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工号: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 xml:space="preserve">Email: </w:t>
            </w:r>
          </w:p>
        </w:tc>
        <w:tc>
          <w:tcPr>
            <w:tcW w:w="2491" w:type="pct"/>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供方签字人信息</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身份证号: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Email:</w:t>
            </w:r>
            <w:r>
              <w:rPr>
                <w:rFonts w:hint="eastAsia" w:ascii="宋体" w:hAnsi="宋体"/>
                <w:spacing w:val="-6"/>
                <w:sz w:val="21"/>
                <w:szCs w:val="21"/>
              </w:rPr>
              <w:tab/>
            </w:r>
          </w:p>
        </w:tc>
      </w:tr>
      <w:tr>
        <w:tblPrEx>
          <w:tblCellMar>
            <w:top w:w="0" w:type="dxa"/>
            <w:left w:w="108" w:type="dxa"/>
            <w:bottom w:w="0" w:type="dxa"/>
            <w:right w:w="108" w:type="dxa"/>
          </w:tblCellMar>
        </w:tblPrEx>
        <w:trPr>
          <w:trHeight w:val="397" w:hRule="atLeast"/>
          <w:jc w:val="center"/>
        </w:trPr>
        <w:tc>
          <w:tcPr>
            <w:tcW w:w="2508" w:type="pct"/>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需方联系人信息（如与签字人相同，可不填）</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工号或学号: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Email:</w:t>
            </w:r>
          </w:p>
        </w:tc>
        <w:tc>
          <w:tcPr>
            <w:tcW w:w="2491" w:type="pct"/>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供方联系人信息（如与签字人相同，可不填）</w:t>
            </w:r>
          </w:p>
          <w:p>
            <w:pPr>
              <w:rPr>
                <w:rFonts w:ascii="宋体" w:hAnsi="宋体"/>
                <w:spacing w:val="-6"/>
                <w:sz w:val="21"/>
                <w:szCs w:val="21"/>
              </w:rPr>
            </w:pPr>
            <w:r>
              <w:rPr>
                <w:rFonts w:hint="eastAsia" w:ascii="宋体" w:hAnsi="宋体"/>
                <w:spacing w:val="-6"/>
                <w:sz w:val="21"/>
                <w:szCs w:val="21"/>
              </w:rPr>
              <w:t>姓名:</w:t>
            </w:r>
          </w:p>
          <w:p>
            <w:pPr>
              <w:rPr>
                <w:rFonts w:ascii="宋体" w:hAnsi="宋体"/>
                <w:spacing w:val="-6"/>
                <w:sz w:val="21"/>
                <w:szCs w:val="21"/>
              </w:rPr>
            </w:pPr>
            <w:r>
              <w:rPr>
                <w:rFonts w:hint="eastAsia" w:ascii="宋体" w:hAnsi="宋体"/>
                <w:spacing w:val="-6"/>
                <w:sz w:val="21"/>
                <w:szCs w:val="21"/>
              </w:rPr>
              <w:t>身份证号:</w:t>
            </w:r>
          </w:p>
          <w:p>
            <w:pPr>
              <w:rPr>
                <w:rFonts w:ascii="宋体" w:hAnsi="宋体"/>
                <w:spacing w:val="-6"/>
                <w:sz w:val="21"/>
                <w:szCs w:val="21"/>
              </w:rPr>
            </w:pPr>
            <w:r>
              <w:rPr>
                <w:rFonts w:hint="eastAsia" w:ascii="宋体" w:hAnsi="宋体"/>
                <w:spacing w:val="-6"/>
                <w:sz w:val="21"/>
                <w:szCs w:val="21"/>
              </w:rPr>
              <w:t>手机:</w:t>
            </w:r>
          </w:p>
          <w:p>
            <w:pPr>
              <w:rPr>
                <w:rFonts w:ascii="宋体" w:hAnsi="宋体"/>
                <w:spacing w:val="-6"/>
                <w:sz w:val="21"/>
                <w:szCs w:val="21"/>
              </w:rPr>
            </w:pPr>
            <w:r>
              <w:rPr>
                <w:rFonts w:hint="eastAsia" w:ascii="宋体" w:hAnsi="宋体"/>
                <w:spacing w:val="-6"/>
                <w:sz w:val="21"/>
                <w:szCs w:val="21"/>
              </w:rPr>
              <w:t>Email:</w:t>
            </w:r>
            <w:r>
              <w:rPr>
                <w:rFonts w:hint="eastAsia" w:ascii="宋体" w:hAnsi="宋体"/>
                <w:spacing w:val="-6"/>
                <w:sz w:val="21"/>
                <w:szCs w:val="21"/>
              </w:rPr>
              <w:tab/>
            </w:r>
          </w:p>
        </w:tc>
      </w:tr>
      <w:tr>
        <w:tblPrEx>
          <w:tblCellMar>
            <w:top w:w="0" w:type="dxa"/>
            <w:left w:w="108" w:type="dxa"/>
            <w:bottom w:w="0" w:type="dxa"/>
            <w:right w:w="108" w:type="dxa"/>
          </w:tblCellMar>
        </w:tblPrEx>
        <w:trPr>
          <w:trHeight w:val="397"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Calibri" w:hAnsi="Calibri" w:eastAsia="仿宋_GB2312"/>
                <w:sz w:val="21"/>
                <w:szCs w:val="21"/>
              </w:rPr>
              <w:t>设备交付地点（送货前再确认，可经双方同意后变更至校内其他地址）：</w:t>
            </w:r>
          </w:p>
        </w:tc>
      </w:tr>
      <w:tr>
        <w:tblPrEx>
          <w:tblCellMar>
            <w:top w:w="0" w:type="dxa"/>
            <w:left w:w="108" w:type="dxa"/>
            <w:bottom w:w="0" w:type="dxa"/>
            <w:right w:w="108" w:type="dxa"/>
          </w:tblCellMar>
        </w:tblPrEx>
        <w:trPr>
          <w:trHeight w:val="397"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浙江大学              校区              楼               室</w:t>
            </w:r>
          </w:p>
          <w:p>
            <w:pPr>
              <w:rPr>
                <w:rFonts w:ascii="宋体" w:hAnsi="宋体"/>
                <w:spacing w:val="-6"/>
                <w:sz w:val="21"/>
                <w:szCs w:val="21"/>
              </w:rPr>
            </w:pPr>
            <w:r>
              <w:rPr>
                <w:rFonts w:hint="eastAsia" w:ascii="宋体" w:hAnsi="宋体"/>
                <w:spacing w:val="-6"/>
                <w:sz w:val="21"/>
                <w:szCs w:val="21"/>
              </w:rPr>
              <w:t xml:space="preserve">                       医院              楼               室</w:t>
            </w:r>
          </w:p>
        </w:tc>
      </w:tr>
    </w:tbl>
    <w:p>
      <w:pPr>
        <w:spacing w:line="288" w:lineRule="auto"/>
        <w:jc w:val="left"/>
        <w:rPr>
          <w:rFonts w:ascii="宋体" w:hAnsi="宋体"/>
          <w:spacing w:val="-6"/>
          <w:sz w:val="21"/>
          <w:szCs w:val="21"/>
        </w:rPr>
      </w:pPr>
      <w:r>
        <w:rPr>
          <w:rFonts w:hint="eastAsia" w:ascii="宋体" w:hAnsi="宋体"/>
          <w:spacing w:val="-6"/>
          <w:sz w:val="21"/>
          <w:szCs w:val="21"/>
        </w:rPr>
        <w:t>注：1、上表内容，请</w:t>
      </w:r>
      <w:r>
        <w:rPr>
          <w:rFonts w:hint="eastAsia" w:ascii="宋体" w:hAnsi="宋体"/>
          <w:b/>
          <w:bCs/>
          <w:spacing w:val="-6"/>
          <w:sz w:val="21"/>
          <w:szCs w:val="21"/>
        </w:rPr>
        <w:t>打印前输入</w:t>
      </w:r>
      <w:r>
        <w:rPr>
          <w:rFonts w:hint="eastAsia" w:ascii="宋体" w:hAnsi="宋体"/>
          <w:spacing w:val="-6"/>
          <w:sz w:val="21"/>
          <w:szCs w:val="21"/>
        </w:rPr>
        <w:t>完整，不要手写；</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2、需方签字人，应为项目负责人；</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3、需方，应为院级单位，并盖院级公章。</w:t>
      </w:r>
    </w:p>
    <w:p>
      <w:pPr>
        <w:rPr>
          <w:rFonts w:ascii="宋体" w:hAnsi="宋体"/>
          <w:spacing w:val="-6"/>
          <w:sz w:val="21"/>
          <w:szCs w:val="21"/>
        </w:rPr>
      </w:pPr>
      <w:r>
        <w:rPr>
          <w:rFonts w:hint="eastAsia" w:ascii="宋体" w:hAnsi="宋体"/>
          <w:spacing w:val="-6"/>
          <w:sz w:val="21"/>
          <w:szCs w:val="21"/>
        </w:rPr>
        <w:br w:type="page"/>
      </w:r>
    </w:p>
    <w:p>
      <w:pPr>
        <w:widowControl/>
        <w:spacing w:line="288" w:lineRule="auto"/>
        <w:ind w:firstLine="642" w:firstLineChars="200"/>
        <w:jc w:val="center"/>
        <w:rPr>
          <w:rFonts w:ascii="宋体" w:hAnsi="宋体" w:cs="宋体"/>
          <w:sz w:val="21"/>
          <w:szCs w:val="21"/>
        </w:rPr>
      </w:pPr>
      <w:r>
        <w:rPr>
          <w:rFonts w:hint="eastAsia" w:ascii="Calibri" w:hAnsi="Calibri"/>
          <w:b/>
          <w:bCs/>
          <w:spacing w:val="20"/>
          <w:szCs w:val="30"/>
        </w:rPr>
        <w:t>技术协议</w:t>
      </w:r>
      <w:r>
        <w:rPr>
          <w:rFonts w:hint="eastAsia" w:ascii="Calibri" w:hAnsi="Calibri"/>
          <w:spacing w:val="20"/>
          <w:sz w:val="24"/>
          <w:szCs w:val="28"/>
        </w:rPr>
        <w:t>（适用于进口设备）</w:t>
      </w:r>
    </w:p>
    <w:p>
      <w:pPr>
        <w:widowControl/>
        <w:spacing w:line="288" w:lineRule="auto"/>
        <w:ind w:firstLine="420" w:firstLineChars="200"/>
        <w:jc w:val="left"/>
        <w:rPr>
          <w:rFonts w:ascii="宋体" w:hAnsi="宋体" w:cs="宋体"/>
          <w:sz w:val="21"/>
          <w:szCs w:val="21"/>
        </w:rPr>
      </w:pP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 xml:space="preserve"> </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 xml:space="preserve">项目编号：                              </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 xml:space="preserve">项目名称：                              </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 xml:space="preserve">买方：                             </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 xml:space="preserve">卖方：                             </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---买方签字人在审核技术协议与采购文件、卖方的响应文件及补充承诺相符后，发电子稿给采购机构确认后签字盖章。以下由采购机构手写---</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采购单号：                                                            档案编号：</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采购机构：</w:t>
      </w:r>
      <w:r>
        <w:rPr>
          <w:rFonts w:hint="eastAsia" w:ascii="宋体" w:hAnsi="宋体" w:cs="宋体"/>
          <w:sz w:val="21"/>
          <w:szCs w:val="21"/>
        </w:rPr>
        <w:sym w:font="Wingdings 2" w:char="00A3"/>
      </w:r>
      <w:r>
        <w:rPr>
          <w:rFonts w:hint="eastAsia" w:ascii="宋体" w:hAnsi="宋体" w:cs="宋体"/>
          <w:sz w:val="15"/>
          <w:szCs w:val="15"/>
        </w:rPr>
        <w:t>浙江大学采购中心</w:t>
      </w:r>
      <w:r>
        <w:rPr>
          <w:rFonts w:hint="eastAsia" w:ascii="宋体" w:hAnsi="宋体" w:cs="宋体"/>
          <w:sz w:val="21"/>
          <w:szCs w:val="21"/>
        </w:rPr>
        <w:t xml:space="preserve">   </w:t>
      </w:r>
      <w:r>
        <w:rPr>
          <w:rFonts w:hint="eastAsia" w:ascii="宋体" w:hAnsi="宋体" w:cs="宋体"/>
          <w:sz w:val="21"/>
          <w:szCs w:val="21"/>
        </w:rPr>
        <w:sym w:font="Wingdings 2" w:char="00A3"/>
      </w:r>
      <w:r>
        <w:rPr>
          <w:rFonts w:hint="eastAsia" w:ascii="宋体" w:hAnsi="宋体" w:cs="宋体"/>
          <w:sz w:val="15"/>
          <w:szCs w:val="15"/>
        </w:rPr>
        <w:t xml:space="preserve">浙江求是招标代理有限公司 </w:t>
      </w:r>
      <w:r>
        <w:rPr>
          <w:rFonts w:hint="eastAsia" w:ascii="宋体" w:hAnsi="宋体" w:cs="宋体"/>
          <w:sz w:val="21"/>
          <w:szCs w:val="21"/>
        </w:rPr>
        <w:t xml:space="preserve">  </w:t>
      </w:r>
      <w:r>
        <w:rPr>
          <w:rFonts w:hint="eastAsia" w:ascii="宋体" w:hAnsi="宋体" w:cs="宋体"/>
          <w:sz w:val="21"/>
          <w:szCs w:val="21"/>
        </w:rPr>
        <w:sym w:font="Wingdings 2" w:char="00A3"/>
      </w:r>
      <w:r>
        <w:rPr>
          <w:rFonts w:hint="eastAsia" w:ascii="宋体" w:hAnsi="宋体" w:cs="宋体"/>
          <w:sz w:val="15"/>
          <w:szCs w:val="15"/>
        </w:rPr>
        <w:t xml:space="preserve">浙江五石工程咨询有限公司 </w:t>
      </w:r>
      <w:r>
        <w:rPr>
          <w:rFonts w:hint="eastAsia" w:ascii="宋体" w:hAnsi="宋体" w:cs="宋体"/>
          <w:sz w:val="21"/>
          <w:szCs w:val="21"/>
        </w:rPr>
        <w:t xml:space="preserve">  </w:t>
      </w:r>
      <w:r>
        <w:rPr>
          <w:rFonts w:hint="eastAsia" w:ascii="宋体" w:hAnsi="宋体" w:cs="宋体"/>
          <w:sz w:val="21"/>
          <w:szCs w:val="21"/>
        </w:rPr>
        <w:sym w:font="Wingdings 2" w:char="00A3"/>
      </w:r>
      <w:r>
        <w:rPr>
          <w:rFonts w:hint="eastAsia" w:ascii="宋体" w:hAnsi="宋体" w:cs="宋体"/>
          <w:sz w:val="15"/>
          <w:szCs w:val="15"/>
        </w:rPr>
        <w:t>浙江国际招(投)标公司</w:t>
      </w:r>
    </w:p>
    <w:p>
      <w:pPr>
        <w:widowControl/>
        <w:spacing w:line="288" w:lineRule="auto"/>
        <w:jc w:val="left"/>
        <w:rPr>
          <w:rFonts w:ascii="宋体" w:hAnsi="宋体" w:cs="宋体"/>
          <w:sz w:val="21"/>
          <w:szCs w:val="21"/>
        </w:rPr>
      </w:pP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一、配置清单及合同价格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22"/>
        <w:gridCol w:w="2056"/>
        <w:gridCol w:w="985"/>
        <w:gridCol w:w="689"/>
        <w:gridCol w:w="150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690"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序号</w:t>
            </w:r>
          </w:p>
        </w:tc>
        <w:tc>
          <w:tcPr>
            <w:tcW w:w="1522"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货物名称</w:t>
            </w:r>
          </w:p>
        </w:tc>
        <w:tc>
          <w:tcPr>
            <w:tcW w:w="2056"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品牌、型号、规格</w:t>
            </w:r>
          </w:p>
        </w:tc>
        <w:tc>
          <w:tcPr>
            <w:tcW w:w="985"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数量</w:t>
            </w:r>
          </w:p>
        </w:tc>
        <w:tc>
          <w:tcPr>
            <w:tcW w:w="689"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单位</w:t>
            </w:r>
          </w:p>
        </w:tc>
        <w:tc>
          <w:tcPr>
            <w:tcW w:w="1508"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单价</w:t>
            </w:r>
          </w:p>
          <w:p>
            <w:pPr>
              <w:widowControl/>
              <w:spacing w:line="288" w:lineRule="auto"/>
              <w:jc w:val="center"/>
              <w:rPr>
                <w:rFonts w:ascii="宋体" w:hAnsi="宋体" w:cs="宋体"/>
                <w:sz w:val="21"/>
                <w:szCs w:val="21"/>
              </w:rPr>
            </w:pPr>
            <w:r>
              <w:rPr>
                <w:rFonts w:hint="eastAsia" w:ascii="宋体" w:hAnsi="宋体" w:cs="宋体"/>
                <w:sz w:val="21"/>
                <w:szCs w:val="21"/>
              </w:rPr>
              <w:t>（人民币元）</w:t>
            </w:r>
          </w:p>
        </w:tc>
        <w:tc>
          <w:tcPr>
            <w:tcW w:w="1480"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金额</w:t>
            </w:r>
          </w:p>
          <w:p>
            <w:pPr>
              <w:widowControl/>
              <w:spacing w:line="288" w:lineRule="auto"/>
              <w:jc w:val="center"/>
              <w:rPr>
                <w:rFonts w:ascii="宋体" w:hAnsi="宋体" w:cs="宋体"/>
                <w:sz w:val="21"/>
                <w:szCs w:val="21"/>
              </w:rPr>
            </w:pPr>
            <w:r>
              <w:rPr>
                <w:rFonts w:hint="eastAsia" w:ascii="宋体" w:hAnsi="宋体" w:cs="宋体"/>
                <w:sz w:val="21"/>
                <w:szCs w:val="21"/>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1</w:t>
            </w:r>
          </w:p>
        </w:tc>
        <w:tc>
          <w:tcPr>
            <w:tcW w:w="1522" w:type="dxa"/>
            <w:vAlign w:val="center"/>
          </w:tcPr>
          <w:p>
            <w:pPr>
              <w:widowControl/>
              <w:spacing w:line="288" w:lineRule="auto"/>
              <w:ind w:firstLine="420" w:firstLineChars="200"/>
              <w:jc w:val="left"/>
              <w:rPr>
                <w:rFonts w:ascii="宋体" w:hAnsi="宋体" w:cs="宋体"/>
                <w:sz w:val="21"/>
                <w:szCs w:val="21"/>
              </w:rPr>
            </w:pPr>
          </w:p>
        </w:tc>
        <w:tc>
          <w:tcPr>
            <w:tcW w:w="2056" w:type="dxa"/>
            <w:vAlign w:val="center"/>
          </w:tcPr>
          <w:p>
            <w:pPr>
              <w:widowControl/>
              <w:spacing w:line="288" w:lineRule="auto"/>
              <w:ind w:firstLine="420" w:firstLineChars="200"/>
              <w:jc w:val="left"/>
              <w:rPr>
                <w:rFonts w:ascii="宋体" w:hAnsi="宋体" w:cs="宋体"/>
                <w:sz w:val="21"/>
                <w:szCs w:val="21"/>
              </w:rPr>
            </w:pPr>
          </w:p>
        </w:tc>
        <w:tc>
          <w:tcPr>
            <w:tcW w:w="985" w:type="dxa"/>
            <w:vAlign w:val="center"/>
          </w:tcPr>
          <w:p>
            <w:pPr>
              <w:widowControl/>
              <w:spacing w:line="288" w:lineRule="auto"/>
              <w:ind w:firstLine="420" w:firstLineChars="200"/>
              <w:jc w:val="left"/>
              <w:rPr>
                <w:rFonts w:ascii="宋体" w:hAnsi="宋体" w:cs="宋体"/>
                <w:sz w:val="21"/>
                <w:szCs w:val="21"/>
              </w:rPr>
            </w:pPr>
          </w:p>
        </w:tc>
        <w:tc>
          <w:tcPr>
            <w:tcW w:w="689" w:type="dxa"/>
            <w:vAlign w:val="center"/>
          </w:tcPr>
          <w:p>
            <w:pPr>
              <w:widowControl/>
              <w:spacing w:line="288" w:lineRule="auto"/>
              <w:ind w:firstLine="420" w:firstLineChars="200"/>
              <w:jc w:val="left"/>
              <w:rPr>
                <w:rFonts w:ascii="宋体" w:hAnsi="宋体" w:cs="宋体"/>
                <w:sz w:val="21"/>
                <w:szCs w:val="21"/>
              </w:rPr>
            </w:pPr>
          </w:p>
        </w:tc>
        <w:tc>
          <w:tcPr>
            <w:tcW w:w="1508" w:type="dxa"/>
            <w:vAlign w:val="center"/>
          </w:tcPr>
          <w:p>
            <w:pPr>
              <w:widowControl/>
              <w:spacing w:line="288" w:lineRule="auto"/>
              <w:ind w:firstLine="420" w:firstLineChars="200"/>
              <w:jc w:val="left"/>
              <w:rPr>
                <w:rFonts w:ascii="宋体" w:hAnsi="宋体" w:cs="宋体"/>
                <w:sz w:val="21"/>
                <w:szCs w:val="21"/>
              </w:rPr>
            </w:pPr>
          </w:p>
        </w:tc>
        <w:tc>
          <w:tcPr>
            <w:tcW w:w="1480" w:type="dxa"/>
            <w:vAlign w:val="center"/>
          </w:tcPr>
          <w:p>
            <w:pPr>
              <w:widowControl/>
              <w:spacing w:line="288" w:lineRule="auto"/>
              <w:ind w:firstLine="420" w:firstLineChars="20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0" w:type="dxa"/>
            <w:vAlign w:val="center"/>
          </w:tcPr>
          <w:p>
            <w:pPr>
              <w:widowControl/>
              <w:spacing w:line="288" w:lineRule="auto"/>
              <w:jc w:val="center"/>
              <w:rPr>
                <w:rFonts w:ascii="宋体" w:hAnsi="宋体" w:cs="宋体"/>
                <w:sz w:val="21"/>
                <w:szCs w:val="21"/>
              </w:rPr>
            </w:pPr>
            <w:r>
              <w:rPr>
                <w:rFonts w:hint="eastAsia" w:ascii="宋体" w:hAnsi="宋体" w:cs="宋体"/>
                <w:sz w:val="21"/>
                <w:szCs w:val="21"/>
              </w:rPr>
              <w:t>2</w:t>
            </w:r>
          </w:p>
        </w:tc>
        <w:tc>
          <w:tcPr>
            <w:tcW w:w="1522" w:type="dxa"/>
            <w:vAlign w:val="center"/>
          </w:tcPr>
          <w:p>
            <w:pPr>
              <w:widowControl/>
              <w:spacing w:line="288" w:lineRule="auto"/>
              <w:ind w:firstLine="420" w:firstLineChars="200"/>
              <w:jc w:val="left"/>
              <w:rPr>
                <w:rFonts w:ascii="宋体" w:hAnsi="宋体" w:cs="宋体"/>
                <w:sz w:val="21"/>
                <w:szCs w:val="21"/>
              </w:rPr>
            </w:pPr>
          </w:p>
        </w:tc>
        <w:tc>
          <w:tcPr>
            <w:tcW w:w="2056" w:type="dxa"/>
            <w:vAlign w:val="center"/>
          </w:tcPr>
          <w:p>
            <w:pPr>
              <w:widowControl/>
              <w:spacing w:line="288" w:lineRule="auto"/>
              <w:ind w:firstLine="420" w:firstLineChars="200"/>
              <w:jc w:val="left"/>
              <w:rPr>
                <w:rFonts w:ascii="宋体" w:hAnsi="宋体" w:cs="宋体"/>
                <w:sz w:val="21"/>
                <w:szCs w:val="21"/>
              </w:rPr>
            </w:pPr>
          </w:p>
        </w:tc>
        <w:tc>
          <w:tcPr>
            <w:tcW w:w="985" w:type="dxa"/>
            <w:vAlign w:val="center"/>
          </w:tcPr>
          <w:p>
            <w:pPr>
              <w:widowControl/>
              <w:spacing w:line="288" w:lineRule="auto"/>
              <w:ind w:firstLine="420" w:firstLineChars="200"/>
              <w:jc w:val="left"/>
              <w:rPr>
                <w:rFonts w:ascii="宋体" w:hAnsi="宋体" w:cs="宋体"/>
                <w:sz w:val="21"/>
                <w:szCs w:val="21"/>
              </w:rPr>
            </w:pPr>
          </w:p>
        </w:tc>
        <w:tc>
          <w:tcPr>
            <w:tcW w:w="689" w:type="dxa"/>
            <w:vAlign w:val="center"/>
          </w:tcPr>
          <w:p>
            <w:pPr>
              <w:widowControl/>
              <w:spacing w:line="288" w:lineRule="auto"/>
              <w:ind w:firstLine="420" w:firstLineChars="200"/>
              <w:jc w:val="left"/>
              <w:rPr>
                <w:rFonts w:ascii="宋体" w:hAnsi="宋体" w:cs="宋体"/>
                <w:sz w:val="21"/>
                <w:szCs w:val="21"/>
              </w:rPr>
            </w:pPr>
          </w:p>
        </w:tc>
        <w:tc>
          <w:tcPr>
            <w:tcW w:w="1508" w:type="dxa"/>
            <w:vAlign w:val="center"/>
          </w:tcPr>
          <w:p>
            <w:pPr>
              <w:widowControl/>
              <w:spacing w:line="288" w:lineRule="auto"/>
              <w:ind w:firstLine="420" w:firstLineChars="200"/>
              <w:jc w:val="left"/>
              <w:rPr>
                <w:rFonts w:ascii="宋体" w:hAnsi="宋体" w:cs="宋体"/>
                <w:sz w:val="21"/>
                <w:szCs w:val="21"/>
              </w:rPr>
            </w:pPr>
          </w:p>
        </w:tc>
        <w:tc>
          <w:tcPr>
            <w:tcW w:w="1480" w:type="dxa"/>
            <w:vAlign w:val="center"/>
          </w:tcPr>
          <w:p>
            <w:pPr>
              <w:widowControl/>
              <w:spacing w:line="288" w:lineRule="auto"/>
              <w:ind w:firstLine="420" w:firstLineChars="20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930" w:type="dxa"/>
            <w:gridSpan w:val="7"/>
            <w:tcBorders>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合同总价：</w:t>
            </w:r>
          </w:p>
        </w:tc>
      </w:tr>
    </w:tbl>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注：1、详细配置清单可附页</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2、根据实际情况修改币种名称</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二、交货时间及地点</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最晚不迟于（</w:t>
      </w:r>
      <w:r>
        <w:rPr>
          <w:rFonts w:hint="eastAsia" w:ascii="宋体" w:hAnsi="宋体" w:cs="宋体"/>
          <w:sz w:val="21"/>
          <w:szCs w:val="21"/>
        </w:rPr>
        <w:sym w:font="Wingdings" w:char="F0FE"/>
      </w:r>
      <w:r>
        <w:rPr>
          <w:rFonts w:hint="eastAsia" w:ascii="宋体" w:hAnsi="宋体" w:cs="宋体"/>
          <w:sz w:val="21"/>
          <w:szCs w:val="21"/>
        </w:rPr>
        <w:t>合同签订</w:t>
      </w:r>
      <w:r>
        <w:rPr>
          <w:rFonts w:hint="eastAsia" w:ascii="宋体" w:hAnsi="宋体" w:cs="宋体"/>
          <w:sz w:val="21"/>
          <w:szCs w:val="21"/>
        </w:rPr>
        <w:sym w:font="Wingdings" w:char="F0FD"/>
      </w:r>
      <w:r>
        <w:rPr>
          <w:rFonts w:hint="eastAsia" w:ascii="宋体" w:hAnsi="宋体" w:cs="宋体"/>
          <w:sz w:val="21"/>
          <w:szCs w:val="21"/>
        </w:rPr>
        <w:t>取得免表</w:t>
      </w:r>
      <w:r>
        <w:rPr>
          <w:rFonts w:hint="eastAsia" w:ascii="宋体" w:hAnsi="宋体" w:cs="宋体"/>
          <w:sz w:val="21"/>
          <w:szCs w:val="21"/>
        </w:rPr>
        <w:sym w:font="Wingdings" w:char="F0FD"/>
      </w:r>
      <w:r>
        <w:rPr>
          <w:rFonts w:hint="eastAsia" w:ascii="宋体" w:hAnsi="宋体" w:cs="宋体"/>
          <w:sz w:val="21"/>
          <w:szCs w:val="21"/>
        </w:rPr>
        <w:t>收到信用证）后</w:t>
      </w:r>
      <w:r>
        <w:rPr>
          <w:rFonts w:hint="eastAsia" w:ascii="宋体" w:hAnsi="宋体" w:cs="宋体"/>
          <w:sz w:val="21"/>
          <w:szCs w:val="21"/>
          <w:u w:val="single"/>
        </w:rPr>
        <w:t xml:space="preserve">    </w:t>
      </w:r>
      <w:r>
        <w:rPr>
          <w:rFonts w:hint="eastAsia" w:ascii="宋体" w:hAnsi="宋体" w:cs="宋体"/>
          <w:sz w:val="21"/>
          <w:szCs w:val="21"/>
        </w:rPr>
        <w:t>自然日。</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设备交付地点（送货前再确认，可经双方同意后变更至校内其他地址）：</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sym w:font="Wingdings" w:char="F0FE"/>
      </w:r>
      <w:r>
        <w:rPr>
          <w:rFonts w:hint="eastAsia" w:ascii="宋体" w:hAnsi="宋体" w:cs="宋体"/>
          <w:sz w:val="21"/>
          <w:szCs w:val="21"/>
        </w:rPr>
        <w:t>浙江大学              校区              楼               室</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sym w:font="Wingdings" w:char="F0FD"/>
      </w:r>
      <w:r>
        <w:rPr>
          <w:rFonts w:hint="eastAsia" w:ascii="宋体" w:hAnsi="宋体" w:cs="宋体"/>
          <w:sz w:val="21"/>
          <w:szCs w:val="21"/>
        </w:rPr>
        <w:t xml:space="preserve">                      医院              楼               室</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sym w:font="Wingdings" w:char="F0FD"/>
      </w:r>
      <w:r>
        <w:rPr>
          <w:rFonts w:hint="eastAsia" w:ascii="宋体" w:hAnsi="宋体" w:cs="宋体"/>
          <w:sz w:val="21"/>
          <w:szCs w:val="21"/>
        </w:rPr>
        <w:t>其他地点（准确到楼宇办公室）：</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三、技术性能指标</w:t>
      </w:r>
    </w:p>
    <w:p>
      <w:pPr>
        <w:widowControl/>
        <w:spacing w:line="288" w:lineRule="auto"/>
        <w:ind w:firstLine="420" w:firstLineChars="200"/>
        <w:jc w:val="left"/>
        <w:rPr>
          <w:rFonts w:ascii="宋体" w:hAnsi="宋体" w:cs="宋体"/>
          <w:b/>
          <w:bCs/>
          <w:sz w:val="21"/>
          <w:szCs w:val="21"/>
        </w:rPr>
      </w:pPr>
      <w:r>
        <w:rPr>
          <w:rFonts w:hint="eastAsia" w:ascii="宋体" w:hAnsi="宋体" w:cs="宋体"/>
          <w:sz w:val="21"/>
          <w:szCs w:val="21"/>
        </w:rPr>
        <w:t>按实填写。</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四、验收标准</w:t>
      </w:r>
    </w:p>
    <w:p>
      <w:pPr>
        <w:widowControl/>
        <w:spacing w:line="288" w:lineRule="auto"/>
        <w:ind w:firstLine="420" w:firstLineChars="200"/>
        <w:jc w:val="left"/>
        <w:rPr>
          <w:rFonts w:ascii="宋体" w:hAnsi="宋体" w:cs="宋体"/>
          <w:sz w:val="21"/>
          <w:szCs w:val="21"/>
          <w:u w:val="single"/>
        </w:rPr>
      </w:pPr>
      <w:r>
        <w:rPr>
          <w:rFonts w:hint="eastAsia" w:ascii="宋体" w:hAnsi="宋体" w:cs="宋体"/>
          <w:sz w:val="21"/>
          <w:szCs w:val="21"/>
        </w:rPr>
        <w:t>正常情况下，需方应在设备调试完成后</w:t>
      </w:r>
      <w:r>
        <w:rPr>
          <w:rFonts w:hint="eastAsia" w:ascii="宋体" w:hAnsi="宋体" w:cs="宋体"/>
          <w:sz w:val="21"/>
          <w:szCs w:val="21"/>
          <w:u w:val="single"/>
        </w:rPr>
        <w:t xml:space="preserve">     </w:t>
      </w:r>
      <w:r>
        <w:rPr>
          <w:rFonts w:hint="eastAsia" w:ascii="宋体" w:hAnsi="宋体" w:cs="宋体"/>
          <w:sz w:val="21"/>
          <w:szCs w:val="21"/>
        </w:rPr>
        <w:t>日内完成验收。验收标准如下：</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五、质保期及售后服务承诺</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质保期</w:t>
      </w:r>
      <w:r>
        <w:rPr>
          <w:rFonts w:hint="eastAsia" w:ascii="宋体" w:hAnsi="宋体" w:cs="宋体"/>
          <w:sz w:val="21"/>
          <w:szCs w:val="21"/>
          <w:u w:val="single"/>
        </w:rPr>
        <w:t xml:space="preserve">     </w:t>
      </w:r>
      <w:r>
        <w:rPr>
          <w:rFonts w:hint="eastAsia" w:ascii="宋体" w:hAnsi="宋体" w:cs="宋体"/>
          <w:sz w:val="21"/>
          <w:szCs w:val="21"/>
        </w:rPr>
        <w:t>年。</w:t>
      </w:r>
    </w:p>
    <w:p>
      <w:pPr>
        <w:widowControl/>
        <w:spacing w:line="288" w:lineRule="auto"/>
        <w:ind w:firstLine="420" w:firstLineChars="200"/>
        <w:jc w:val="left"/>
      </w:pPr>
      <w:r>
        <w:rPr>
          <w:rFonts w:hint="eastAsia" w:ascii="宋体" w:hAnsi="宋体" w:cs="宋体"/>
          <w:sz w:val="21"/>
          <w:szCs w:val="21"/>
        </w:rPr>
        <w:t>相关服务承诺如下：</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六、外贸合同及相关责任承诺</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浙江大学采购中心委托外贸代理公司与卖方指定的境外公司签订外贸合同，如卖方指定的境外公司无法履行所签订外贸合同的条款时，所有责任和风险由卖方承担。</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境外公司详细信息如下：</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境外公司名称：</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联系人姓名:</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联系人电话:</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联系人Email:</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七、货款的支付：</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1、签订合同时交纳5%履约保证金，（</w:t>
      </w:r>
      <w:r>
        <w:rPr>
          <w:rFonts w:hint="eastAsia" w:ascii="宋体" w:hAnsi="宋体" w:cs="宋体"/>
          <w:sz w:val="21"/>
          <w:szCs w:val="21"/>
        </w:rPr>
        <w:sym w:font="Wingdings" w:char="F0FE"/>
      </w:r>
      <w:r>
        <w:rPr>
          <w:rFonts w:hint="eastAsia" w:ascii="宋体" w:hAnsi="宋体" w:cs="宋体"/>
          <w:sz w:val="21"/>
          <w:szCs w:val="21"/>
        </w:rPr>
        <w:t>见发货单后</w:t>
      </w:r>
      <w:r>
        <w:rPr>
          <w:rFonts w:hint="eastAsia" w:ascii="宋体" w:hAnsi="宋体" w:cs="宋体"/>
          <w:sz w:val="21"/>
          <w:szCs w:val="21"/>
        </w:rPr>
        <w:sym w:font="Wingdings" w:char="F0FD"/>
      </w:r>
      <w:r>
        <w:rPr>
          <w:rFonts w:hint="eastAsia" w:ascii="宋体" w:hAnsi="宋体" w:cs="宋体"/>
          <w:sz w:val="21"/>
          <w:szCs w:val="21"/>
        </w:rPr>
        <w:t>货到后</w:t>
      </w:r>
      <w:r>
        <w:rPr>
          <w:rFonts w:hint="eastAsia" w:ascii="宋体" w:hAnsi="宋体" w:cs="宋体"/>
          <w:sz w:val="21"/>
          <w:szCs w:val="21"/>
        </w:rPr>
        <w:sym w:font="Wingdings" w:char="F0FD"/>
      </w:r>
      <w:r>
        <w:rPr>
          <w:rFonts w:hint="eastAsia" w:ascii="宋体" w:hAnsi="宋体" w:cs="宋体"/>
          <w:sz w:val="21"/>
          <w:szCs w:val="21"/>
        </w:rPr>
        <w:t>验收后）以（</w:t>
      </w:r>
      <w:r>
        <w:rPr>
          <w:rFonts w:hint="eastAsia" w:ascii="宋体" w:hAnsi="宋体" w:cs="宋体"/>
          <w:sz w:val="21"/>
          <w:szCs w:val="21"/>
        </w:rPr>
        <w:sym w:font="Wingdings" w:char="F0FE"/>
      </w:r>
      <w:r>
        <w:rPr>
          <w:rFonts w:hint="eastAsia" w:ascii="宋体" w:hAnsi="宋体" w:cs="宋体"/>
          <w:sz w:val="21"/>
          <w:szCs w:val="21"/>
        </w:rPr>
        <w:t>信用证</w:t>
      </w:r>
      <w:r>
        <w:rPr>
          <w:rFonts w:hint="eastAsia" w:ascii="宋体" w:hAnsi="宋体" w:cs="宋体"/>
          <w:sz w:val="21"/>
          <w:szCs w:val="21"/>
        </w:rPr>
        <w:sym w:font="Wingdings" w:char="F0FD"/>
      </w:r>
      <w:r>
        <w:rPr>
          <w:rFonts w:hint="eastAsia" w:ascii="宋体" w:hAnsi="宋体" w:cs="宋体"/>
          <w:sz w:val="21"/>
          <w:szCs w:val="21"/>
        </w:rPr>
        <w:t>电汇）方式支付100%货款，履约保证金在验收后无息退回。</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2、信用证金额大于10万美元（或等值其他币种）的，卖方向采购中心书面（邮件）反馈信用证号、有效期、金额和关联的外贸合同号。采购中心凭卖方的反馈信息向外贸公司支付货款。</w:t>
      </w:r>
    </w:p>
    <w:p>
      <w:pPr>
        <w:widowControl/>
        <w:spacing w:line="288" w:lineRule="auto"/>
        <w:ind w:firstLine="422" w:firstLineChars="200"/>
        <w:jc w:val="left"/>
        <w:rPr>
          <w:rFonts w:ascii="宋体" w:hAnsi="宋体" w:cs="宋体"/>
          <w:b/>
          <w:bCs/>
          <w:sz w:val="21"/>
          <w:szCs w:val="21"/>
        </w:rPr>
      </w:pPr>
      <w:r>
        <w:rPr>
          <w:rFonts w:hint="eastAsia" w:ascii="宋体" w:hAnsi="宋体" w:cs="宋体"/>
          <w:b/>
          <w:bCs/>
          <w:sz w:val="21"/>
          <w:szCs w:val="21"/>
        </w:rPr>
        <w:t>八、协议生效</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本协议经双方签字、盖章后生效。协议内容除签字人签字、印章外，其余均应打印前输入，手写无效。协议内容与采购文件、投标文件及供方书面相关承诺等不一致的，以原件为准。本协议一式三份，三方各执一份。</w:t>
      </w:r>
    </w:p>
    <w:tbl>
      <w:tblPr>
        <w:tblStyle w:val="23"/>
        <w:tblW w:w="0" w:type="auto"/>
        <w:jc w:val="center"/>
        <w:tblLayout w:type="fixed"/>
        <w:tblCellMar>
          <w:top w:w="0" w:type="dxa"/>
          <w:left w:w="108" w:type="dxa"/>
          <w:bottom w:w="0" w:type="dxa"/>
          <w:right w:w="108" w:type="dxa"/>
        </w:tblCellMar>
      </w:tblPr>
      <w:tblGrid>
        <w:gridCol w:w="1395"/>
        <w:gridCol w:w="2790"/>
        <w:gridCol w:w="1440"/>
        <w:gridCol w:w="2716"/>
      </w:tblGrid>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买方</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The Buyer:</w:t>
            </w:r>
          </w:p>
        </w:tc>
        <w:tc>
          <w:tcPr>
            <w:tcW w:w="2790" w:type="dxa"/>
            <w:tcBorders>
              <w:bottom w:val="single" w:color="auto" w:sz="4" w:space="0"/>
            </w:tcBorders>
            <w:vAlign w:val="bottom"/>
          </w:tcPr>
          <w:p>
            <w:pPr>
              <w:widowControl/>
              <w:spacing w:line="288" w:lineRule="auto"/>
              <w:ind w:firstLine="420" w:firstLineChars="200"/>
              <w:jc w:val="left"/>
              <w:rPr>
                <w:rFonts w:ascii="宋体" w:hAnsi="宋体" w:cs="宋体"/>
                <w:sz w:val="21"/>
                <w:szCs w:val="21"/>
              </w:rPr>
            </w:pPr>
          </w:p>
        </w:tc>
        <w:tc>
          <w:tcPr>
            <w:tcW w:w="1440"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卖方</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The Seller:</w:t>
            </w:r>
          </w:p>
        </w:tc>
        <w:tc>
          <w:tcPr>
            <w:tcW w:w="2716" w:type="dxa"/>
            <w:tcBorders>
              <w:bottom w:val="single" w:color="auto" w:sz="4" w:space="0"/>
            </w:tcBorders>
            <w:vAlign w:val="bottom"/>
          </w:tcPr>
          <w:p>
            <w:pPr>
              <w:widowControl/>
              <w:spacing w:line="288" w:lineRule="auto"/>
              <w:ind w:firstLine="420" w:firstLineChars="200"/>
              <w:jc w:val="left"/>
              <w:rPr>
                <w:rFonts w:ascii="宋体" w:hAnsi="宋体" w:cs="宋体"/>
                <w:sz w:val="21"/>
                <w:szCs w:val="21"/>
              </w:rPr>
            </w:pPr>
          </w:p>
        </w:tc>
      </w:tr>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签字</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Signature:</w:t>
            </w:r>
          </w:p>
        </w:tc>
        <w:tc>
          <w:tcPr>
            <w:tcW w:w="2790"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sz w:val="21"/>
                <w:szCs w:val="21"/>
              </w:rPr>
            </w:pPr>
          </w:p>
        </w:tc>
        <w:tc>
          <w:tcPr>
            <w:tcW w:w="1440"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签字</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Signature:</w:t>
            </w:r>
          </w:p>
        </w:tc>
        <w:tc>
          <w:tcPr>
            <w:tcW w:w="2716"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sz w:val="21"/>
                <w:szCs w:val="21"/>
              </w:rPr>
            </w:pPr>
          </w:p>
        </w:tc>
      </w:tr>
      <w:tr>
        <w:tblPrEx>
          <w:tblCellMar>
            <w:top w:w="0" w:type="dxa"/>
            <w:left w:w="108" w:type="dxa"/>
            <w:bottom w:w="0" w:type="dxa"/>
            <w:right w:w="108" w:type="dxa"/>
          </w:tblCellMar>
        </w:tblPrEx>
        <w:trPr>
          <w:jc w:val="center"/>
        </w:trPr>
        <w:tc>
          <w:tcPr>
            <w:tcW w:w="1395"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日期(Date):</w:t>
            </w:r>
          </w:p>
        </w:tc>
        <w:tc>
          <w:tcPr>
            <w:tcW w:w="2790"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sz w:val="21"/>
                <w:szCs w:val="21"/>
              </w:rPr>
            </w:pPr>
          </w:p>
        </w:tc>
        <w:tc>
          <w:tcPr>
            <w:tcW w:w="1440" w:type="dxa"/>
            <w:vAlign w:val="bottom"/>
          </w:tcPr>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日期(Date):</w:t>
            </w:r>
          </w:p>
        </w:tc>
        <w:tc>
          <w:tcPr>
            <w:tcW w:w="2716" w:type="dxa"/>
            <w:tcBorders>
              <w:top w:val="single" w:color="auto" w:sz="4" w:space="0"/>
              <w:bottom w:val="single" w:color="auto" w:sz="4" w:space="0"/>
            </w:tcBorders>
            <w:vAlign w:val="bottom"/>
          </w:tcPr>
          <w:p>
            <w:pPr>
              <w:widowControl/>
              <w:spacing w:line="288" w:lineRule="auto"/>
              <w:ind w:firstLine="420" w:firstLineChars="200"/>
              <w:jc w:val="left"/>
              <w:rPr>
                <w:rFonts w:ascii="宋体" w:hAnsi="宋体" w:cs="宋体"/>
                <w:sz w:val="21"/>
                <w:szCs w:val="21"/>
              </w:rPr>
            </w:pPr>
          </w:p>
        </w:tc>
      </w:tr>
      <w:tr>
        <w:tblPrEx>
          <w:tblCellMar>
            <w:top w:w="0" w:type="dxa"/>
            <w:left w:w="108" w:type="dxa"/>
            <w:bottom w:w="0" w:type="dxa"/>
            <w:right w:w="108" w:type="dxa"/>
          </w:tblCellMar>
        </w:tblPrEx>
        <w:trPr>
          <w:jc w:val="center"/>
        </w:trPr>
        <w:tc>
          <w:tcPr>
            <w:tcW w:w="4185" w:type="dxa"/>
            <w:gridSpan w:val="2"/>
          </w:tcPr>
          <w:p>
            <w:pPr>
              <w:widowControl/>
              <w:spacing w:line="288" w:lineRule="auto"/>
              <w:ind w:firstLine="420" w:firstLineChars="200"/>
              <w:jc w:val="left"/>
              <w:rPr>
                <w:rFonts w:ascii="宋体" w:hAnsi="宋体" w:cs="宋体"/>
                <w:sz w:val="21"/>
                <w:szCs w:val="21"/>
              </w:rPr>
            </w:pPr>
          </w:p>
        </w:tc>
        <w:tc>
          <w:tcPr>
            <w:tcW w:w="4156" w:type="dxa"/>
            <w:gridSpan w:val="2"/>
          </w:tcPr>
          <w:p>
            <w:pPr>
              <w:widowControl/>
              <w:spacing w:line="288" w:lineRule="auto"/>
              <w:ind w:firstLine="420" w:firstLineChars="200"/>
              <w:jc w:val="left"/>
              <w:rPr>
                <w:rFonts w:ascii="宋体" w:hAnsi="宋体" w:cs="宋体"/>
                <w:sz w:val="21"/>
                <w:szCs w:val="21"/>
              </w:rPr>
            </w:pPr>
          </w:p>
        </w:tc>
      </w:tr>
    </w:tbl>
    <w:p>
      <w:pPr>
        <w:widowControl/>
        <w:spacing w:line="288" w:lineRule="auto"/>
        <w:ind w:firstLine="420" w:firstLineChars="200"/>
        <w:jc w:val="left"/>
        <w:rPr>
          <w:rFonts w:ascii="宋体" w:hAnsi="宋体" w:cs="宋体"/>
          <w:sz w:val="21"/>
          <w:szCs w:val="21"/>
        </w:rPr>
      </w:pP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br w:type="page"/>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协议需要公示，此页请单独一页，以方便公示时删去。</w:t>
      </w:r>
    </w:p>
    <w:tbl>
      <w:tblPr>
        <w:tblStyle w:val="23"/>
        <w:tblW w:w="0" w:type="auto"/>
        <w:jc w:val="center"/>
        <w:tblLayout w:type="fixed"/>
        <w:tblCellMar>
          <w:top w:w="0" w:type="dxa"/>
          <w:left w:w="108" w:type="dxa"/>
          <w:bottom w:w="0" w:type="dxa"/>
          <w:right w:w="108" w:type="dxa"/>
        </w:tblCellMar>
      </w:tblPr>
      <w:tblGrid>
        <w:gridCol w:w="4185"/>
        <w:gridCol w:w="4156"/>
      </w:tblGrid>
      <w:tr>
        <w:tblPrEx>
          <w:tblCellMar>
            <w:top w:w="0" w:type="dxa"/>
            <w:left w:w="108" w:type="dxa"/>
            <w:bottom w:w="0" w:type="dxa"/>
            <w:right w:w="108" w:type="dxa"/>
          </w:tblCellMar>
        </w:tblPrEx>
        <w:trPr>
          <w:trHeight w:val="397" w:hRule="atLeast"/>
          <w:jc w:val="center"/>
        </w:trPr>
        <w:tc>
          <w:tcPr>
            <w:tcW w:w="8341"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双方信息</w:t>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买方签字人信息</w:t>
            </w:r>
          </w:p>
          <w:p>
            <w:pPr>
              <w:widowControl/>
              <w:spacing w:line="288" w:lineRule="auto"/>
              <w:jc w:val="left"/>
              <w:rPr>
                <w:rFonts w:ascii="宋体" w:hAnsi="宋体" w:cs="宋体"/>
                <w:sz w:val="21"/>
                <w:szCs w:val="21"/>
              </w:rPr>
            </w:pPr>
            <w:r>
              <w:rPr>
                <w:rFonts w:hint="eastAsia" w:ascii="宋体" w:hAnsi="宋体" w:cs="宋体"/>
                <w:sz w:val="21"/>
                <w:szCs w:val="21"/>
              </w:rPr>
              <w:t>姓名:</w:t>
            </w:r>
          </w:p>
          <w:p>
            <w:pPr>
              <w:widowControl/>
              <w:spacing w:line="288" w:lineRule="auto"/>
              <w:jc w:val="left"/>
              <w:rPr>
                <w:rFonts w:ascii="宋体" w:hAnsi="宋体" w:cs="宋体"/>
                <w:sz w:val="21"/>
                <w:szCs w:val="21"/>
              </w:rPr>
            </w:pPr>
            <w:r>
              <w:rPr>
                <w:rFonts w:hint="eastAsia" w:ascii="宋体" w:hAnsi="宋体" w:cs="宋体"/>
                <w:sz w:val="21"/>
                <w:szCs w:val="21"/>
              </w:rPr>
              <w:t>工号:</w:t>
            </w:r>
          </w:p>
          <w:p>
            <w:pPr>
              <w:widowControl/>
              <w:spacing w:line="288" w:lineRule="auto"/>
              <w:jc w:val="left"/>
              <w:rPr>
                <w:rFonts w:ascii="宋体" w:hAnsi="宋体" w:cs="宋体"/>
                <w:sz w:val="21"/>
                <w:szCs w:val="21"/>
              </w:rPr>
            </w:pPr>
            <w:r>
              <w:rPr>
                <w:rFonts w:hint="eastAsia" w:ascii="宋体" w:hAnsi="宋体" w:cs="宋体"/>
                <w:sz w:val="21"/>
                <w:szCs w:val="21"/>
              </w:rPr>
              <w:t>手机:</w:t>
            </w:r>
          </w:p>
          <w:p>
            <w:pPr>
              <w:widowControl/>
              <w:spacing w:line="288" w:lineRule="auto"/>
              <w:jc w:val="left"/>
              <w:rPr>
                <w:rFonts w:ascii="宋体" w:hAnsi="宋体" w:cs="宋体"/>
                <w:sz w:val="21"/>
                <w:szCs w:val="21"/>
              </w:rPr>
            </w:pPr>
            <w:r>
              <w:rPr>
                <w:rFonts w:hint="eastAsia" w:ascii="宋体" w:hAnsi="宋体" w:cs="宋体"/>
                <w:sz w:val="21"/>
                <w:szCs w:val="21"/>
              </w:rPr>
              <w:t xml:space="preserve">Email: </w:t>
            </w:r>
          </w:p>
        </w:tc>
        <w:tc>
          <w:tcPr>
            <w:tcW w:w="415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卖方签字人信息</w:t>
            </w:r>
          </w:p>
          <w:p>
            <w:pPr>
              <w:widowControl/>
              <w:spacing w:line="288" w:lineRule="auto"/>
              <w:jc w:val="left"/>
              <w:rPr>
                <w:rFonts w:ascii="宋体" w:hAnsi="宋体" w:cs="宋体"/>
                <w:sz w:val="21"/>
                <w:szCs w:val="21"/>
              </w:rPr>
            </w:pPr>
            <w:r>
              <w:rPr>
                <w:rFonts w:hint="eastAsia" w:ascii="宋体" w:hAnsi="宋体" w:cs="宋体"/>
                <w:sz w:val="21"/>
                <w:szCs w:val="21"/>
              </w:rPr>
              <w:t>姓名:</w:t>
            </w:r>
          </w:p>
          <w:p>
            <w:pPr>
              <w:widowControl/>
              <w:spacing w:line="288" w:lineRule="auto"/>
              <w:jc w:val="left"/>
              <w:rPr>
                <w:rFonts w:ascii="宋体" w:hAnsi="宋体" w:cs="宋体"/>
                <w:sz w:val="21"/>
                <w:szCs w:val="21"/>
              </w:rPr>
            </w:pPr>
            <w:r>
              <w:rPr>
                <w:rFonts w:hint="eastAsia" w:ascii="宋体" w:hAnsi="宋体" w:cs="宋体"/>
                <w:sz w:val="21"/>
                <w:szCs w:val="21"/>
              </w:rPr>
              <w:t>身份证号:</w:t>
            </w:r>
          </w:p>
          <w:p>
            <w:pPr>
              <w:widowControl/>
              <w:spacing w:line="288" w:lineRule="auto"/>
              <w:jc w:val="left"/>
              <w:rPr>
                <w:rFonts w:ascii="宋体" w:hAnsi="宋体" w:cs="宋体"/>
                <w:sz w:val="21"/>
                <w:szCs w:val="21"/>
              </w:rPr>
            </w:pPr>
            <w:r>
              <w:rPr>
                <w:rFonts w:hint="eastAsia" w:ascii="宋体" w:hAnsi="宋体" w:cs="宋体"/>
                <w:sz w:val="21"/>
                <w:szCs w:val="21"/>
              </w:rPr>
              <w:t>手机:</w:t>
            </w:r>
          </w:p>
          <w:p>
            <w:pPr>
              <w:widowControl/>
              <w:spacing w:line="288" w:lineRule="auto"/>
              <w:jc w:val="left"/>
              <w:rPr>
                <w:rFonts w:ascii="宋体" w:hAnsi="宋体" w:cs="宋体"/>
                <w:sz w:val="21"/>
                <w:szCs w:val="21"/>
              </w:rPr>
            </w:pPr>
            <w:r>
              <w:rPr>
                <w:rFonts w:hint="eastAsia" w:ascii="宋体" w:hAnsi="宋体" w:cs="宋体"/>
                <w:sz w:val="21"/>
                <w:szCs w:val="21"/>
              </w:rPr>
              <w:t>Email:</w:t>
            </w:r>
            <w:r>
              <w:rPr>
                <w:rFonts w:hint="eastAsia" w:ascii="宋体" w:hAnsi="宋体" w:cs="宋体"/>
                <w:sz w:val="21"/>
                <w:szCs w:val="21"/>
              </w:rPr>
              <w:tab/>
            </w:r>
          </w:p>
        </w:tc>
      </w:tr>
      <w:tr>
        <w:tblPrEx>
          <w:tblCellMar>
            <w:top w:w="0" w:type="dxa"/>
            <w:left w:w="108" w:type="dxa"/>
            <w:bottom w:w="0" w:type="dxa"/>
            <w:right w:w="108" w:type="dxa"/>
          </w:tblCellMar>
        </w:tblPrEx>
        <w:trPr>
          <w:trHeight w:val="397" w:hRule="atLeast"/>
          <w:jc w:val="center"/>
        </w:trPr>
        <w:tc>
          <w:tcPr>
            <w:tcW w:w="4185"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买方联系人信息（如与签字人相同，可不填）</w:t>
            </w:r>
          </w:p>
          <w:p>
            <w:pPr>
              <w:widowControl/>
              <w:spacing w:line="288" w:lineRule="auto"/>
              <w:jc w:val="left"/>
              <w:rPr>
                <w:rFonts w:ascii="宋体" w:hAnsi="宋体" w:cs="宋体"/>
                <w:sz w:val="21"/>
                <w:szCs w:val="21"/>
              </w:rPr>
            </w:pPr>
            <w:r>
              <w:rPr>
                <w:rFonts w:hint="eastAsia" w:ascii="宋体" w:hAnsi="宋体" w:cs="宋体"/>
                <w:sz w:val="21"/>
                <w:szCs w:val="21"/>
              </w:rPr>
              <w:t>姓名:</w:t>
            </w:r>
          </w:p>
          <w:p>
            <w:pPr>
              <w:widowControl/>
              <w:spacing w:line="288" w:lineRule="auto"/>
              <w:jc w:val="left"/>
              <w:rPr>
                <w:rFonts w:ascii="宋体" w:hAnsi="宋体" w:cs="宋体"/>
                <w:sz w:val="21"/>
                <w:szCs w:val="21"/>
              </w:rPr>
            </w:pPr>
            <w:r>
              <w:rPr>
                <w:rFonts w:hint="eastAsia" w:ascii="宋体" w:hAnsi="宋体" w:cs="宋体"/>
                <w:sz w:val="21"/>
                <w:szCs w:val="21"/>
              </w:rPr>
              <w:t>工号或学号:</w:t>
            </w:r>
          </w:p>
          <w:p>
            <w:pPr>
              <w:widowControl/>
              <w:spacing w:line="288" w:lineRule="auto"/>
              <w:jc w:val="left"/>
              <w:rPr>
                <w:rFonts w:ascii="宋体" w:hAnsi="宋体" w:cs="宋体"/>
                <w:sz w:val="21"/>
                <w:szCs w:val="21"/>
              </w:rPr>
            </w:pPr>
            <w:r>
              <w:rPr>
                <w:rFonts w:hint="eastAsia" w:ascii="宋体" w:hAnsi="宋体" w:cs="宋体"/>
                <w:sz w:val="21"/>
                <w:szCs w:val="21"/>
              </w:rPr>
              <w:t>手机:</w:t>
            </w:r>
          </w:p>
          <w:p>
            <w:pPr>
              <w:widowControl/>
              <w:spacing w:line="288" w:lineRule="auto"/>
              <w:jc w:val="left"/>
              <w:rPr>
                <w:rFonts w:ascii="宋体" w:hAnsi="宋体" w:cs="宋体"/>
                <w:sz w:val="21"/>
                <w:szCs w:val="21"/>
              </w:rPr>
            </w:pPr>
            <w:r>
              <w:rPr>
                <w:rFonts w:hint="eastAsia" w:ascii="宋体" w:hAnsi="宋体" w:cs="宋体"/>
                <w:sz w:val="21"/>
                <w:szCs w:val="21"/>
              </w:rPr>
              <w:t>Email:</w:t>
            </w:r>
          </w:p>
        </w:tc>
        <w:tc>
          <w:tcPr>
            <w:tcW w:w="4156"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cs="宋体"/>
                <w:sz w:val="21"/>
                <w:szCs w:val="21"/>
              </w:rPr>
            </w:pPr>
            <w:r>
              <w:rPr>
                <w:rFonts w:hint="eastAsia" w:ascii="宋体" w:hAnsi="宋体" w:cs="宋体"/>
                <w:sz w:val="21"/>
                <w:szCs w:val="21"/>
              </w:rPr>
              <w:t>卖方联系人信息（如与签字人相同，可不填）</w:t>
            </w:r>
          </w:p>
          <w:p>
            <w:pPr>
              <w:widowControl/>
              <w:spacing w:line="288" w:lineRule="auto"/>
              <w:jc w:val="left"/>
              <w:rPr>
                <w:rFonts w:ascii="宋体" w:hAnsi="宋体" w:cs="宋体"/>
                <w:sz w:val="21"/>
                <w:szCs w:val="21"/>
              </w:rPr>
            </w:pPr>
            <w:r>
              <w:rPr>
                <w:rFonts w:hint="eastAsia" w:ascii="宋体" w:hAnsi="宋体" w:cs="宋体"/>
                <w:sz w:val="21"/>
                <w:szCs w:val="21"/>
              </w:rPr>
              <w:t>姓名:</w:t>
            </w:r>
          </w:p>
          <w:p>
            <w:pPr>
              <w:widowControl/>
              <w:spacing w:line="288" w:lineRule="auto"/>
              <w:jc w:val="left"/>
              <w:rPr>
                <w:rFonts w:ascii="宋体" w:hAnsi="宋体" w:cs="宋体"/>
                <w:sz w:val="21"/>
                <w:szCs w:val="21"/>
              </w:rPr>
            </w:pPr>
            <w:r>
              <w:rPr>
                <w:rFonts w:hint="eastAsia" w:ascii="宋体" w:hAnsi="宋体" w:cs="宋体"/>
                <w:sz w:val="21"/>
                <w:szCs w:val="21"/>
              </w:rPr>
              <w:t>身份证号:</w:t>
            </w:r>
          </w:p>
          <w:p>
            <w:pPr>
              <w:widowControl/>
              <w:spacing w:line="288" w:lineRule="auto"/>
              <w:jc w:val="left"/>
              <w:rPr>
                <w:rFonts w:ascii="宋体" w:hAnsi="宋体" w:cs="宋体"/>
                <w:sz w:val="21"/>
                <w:szCs w:val="21"/>
              </w:rPr>
            </w:pPr>
            <w:r>
              <w:rPr>
                <w:rFonts w:hint="eastAsia" w:ascii="宋体" w:hAnsi="宋体" w:cs="宋体"/>
                <w:sz w:val="21"/>
                <w:szCs w:val="21"/>
              </w:rPr>
              <w:t>手机:</w:t>
            </w:r>
          </w:p>
          <w:p>
            <w:pPr>
              <w:widowControl/>
              <w:spacing w:line="288" w:lineRule="auto"/>
              <w:jc w:val="left"/>
              <w:rPr>
                <w:rFonts w:ascii="宋体" w:hAnsi="宋体" w:cs="宋体"/>
                <w:sz w:val="21"/>
                <w:szCs w:val="21"/>
              </w:rPr>
            </w:pPr>
            <w:r>
              <w:rPr>
                <w:rFonts w:hint="eastAsia" w:ascii="宋体" w:hAnsi="宋体" w:cs="宋体"/>
                <w:sz w:val="21"/>
                <w:szCs w:val="21"/>
              </w:rPr>
              <w:t>Email:</w:t>
            </w:r>
            <w:r>
              <w:rPr>
                <w:rFonts w:hint="eastAsia" w:ascii="宋体" w:hAnsi="宋体" w:cs="宋体"/>
                <w:sz w:val="21"/>
                <w:szCs w:val="21"/>
              </w:rPr>
              <w:tab/>
            </w:r>
          </w:p>
        </w:tc>
      </w:tr>
    </w:tbl>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注：1、上表内容，请</w:t>
      </w:r>
      <w:r>
        <w:rPr>
          <w:rFonts w:hint="eastAsia" w:ascii="宋体" w:hAnsi="宋体" w:cs="宋体"/>
          <w:b/>
          <w:bCs/>
          <w:sz w:val="21"/>
          <w:szCs w:val="21"/>
        </w:rPr>
        <w:t>打印前输入完整</w:t>
      </w:r>
      <w:r>
        <w:rPr>
          <w:rFonts w:hint="eastAsia" w:ascii="宋体" w:hAnsi="宋体" w:cs="宋体"/>
          <w:sz w:val="21"/>
          <w:szCs w:val="21"/>
        </w:rPr>
        <w:t>，不要手写；</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2、买方签字人，应为</w:t>
      </w:r>
      <w:r>
        <w:rPr>
          <w:rFonts w:hint="eastAsia" w:ascii="宋体" w:hAnsi="宋体" w:cs="宋体"/>
          <w:b/>
          <w:bCs/>
          <w:sz w:val="21"/>
          <w:szCs w:val="21"/>
        </w:rPr>
        <w:t>项目负责人</w:t>
      </w:r>
      <w:r>
        <w:rPr>
          <w:rFonts w:hint="eastAsia" w:ascii="宋体" w:hAnsi="宋体" w:cs="宋体"/>
          <w:sz w:val="21"/>
          <w:szCs w:val="21"/>
        </w:rPr>
        <w:t>；</w:t>
      </w:r>
    </w:p>
    <w:p>
      <w:pPr>
        <w:widowControl/>
        <w:spacing w:line="288" w:lineRule="auto"/>
        <w:ind w:firstLine="420" w:firstLineChars="200"/>
        <w:jc w:val="left"/>
        <w:rPr>
          <w:rFonts w:ascii="宋体" w:hAnsi="宋体" w:cs="宋体"/>
          <w:sz w:val="21"/>
          <w:szCs w:val="21"/>
        </w:rPr>
      </w:pPr>
      <w:r>
        <w:rPr>
          <w:rFonts w:hint="eastAsia" w:ascii="宋体" w:hAnsi="宋体" w:cs="宋体"/>
          <w:sz w:val="21"/>
          <w:szCs w:val="21"/>
        </w:rPr>
        <w:t>3、买方公章应为</w:t>
      </w:r>
      <w:r>
        <w:rPr>
          <w:rFonts w:hint="eastAsia" w:ascii="宋体" w:hAnsi="宋体" w:cs="宋体"/>
          <w:b/>
          <w:bCs/>
          <w:sz w:val="21"/>
          <w:szCs w:val="21"/>
        </w:rPr>
        <w:t>学院公章</w:t>
      </w:r>
      <w:r>
        <w:rPr>
          <w:rFonts w:hint="eastAsia" w:ascii="宋体" w:hAnsi="宋体" w:cs="宋体"/>
          <w:sz w:val="21"/>
          <w:szCs w:val="21"/>
        </w:rPr>
        <w:t>。</w:t>
      </w:r>
    </w:p>
    <w:p>
      <w:pPr>
        <w:widowControl/>
        <w:spacing w:line="288" w:lineRule="auto"/>
        <w:ind w:firstLine="396" w:firstLineChars="200"/>
        <w:jc w:val="center"/>
        <w:rPr>
          <w:rFonts w:ascii="宋体" w:hAnsi="宋体" w:cs="宋体"/>
          <w:color w:val="000000"/>
          <w:sz w:val="36"/>
          <w:szCs w:val="36"/>
        </w:rPr>
      </w:pPr>
      <w:r>
        <w:rPr>
          <w:rFonts w:hint="eastAsia" w:ascii="宋体" w:hAnsi="宋体"/>
          <w:color w:val="FF0000"/>
          <w:spacing w:val="-6"/>
          <w:sz w:val="21"/>
          <w:szCs w:val="21"/>
        </w:rPr>
        <w:br w:type="page"/>
      </w:r>
      <w:r>
        <w:rPr>
          <w:rFonts w:hint="eastAsia" w:ascii="宋体" w:hAnsi="宋体" w:cs="宋体"/>
          <w:color w:val="000000"/>
          <w:sz w:val="36"/>
          <w:szCs w:val="36"/>
        </w:rPr>
        <w:t>减免税进口设备领用人须知</w:t>
      </w:r>
    </w:p>
    <w:p>
      <w:pPr>
        <w:widowControl/>
        <w:spacing w:line="336" w:lineRule="auto"/>
        <w:ind w:firstLine="420"/>
        <w:rPr>
          <w:rFonts w:ascii="宋体" w:hAnsi="宋体" w:cs="宋体"/>
          <w:color w:val="000000"/>
          <w:kern w:val="0"/>
          <w:szCs w:val="28"/>
        </w:rPr>
      </w:pPr>
      <w:r>
        <w:rPr>
          <w:rFonts w:hint="eastAsia" w:ascii="宋体" w:hAnsi="宋体" w:cs="宋体"/>
          <w:color w:val="000000"/>
          <w:kern w:val="0"/>
          <w:szCs w:val="28"/>
        </w:rPr>
        <w:t>用户老师：</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 xml:space="preserve">您在享受国家特定减免税优惠政策的同时，请知晓并遵守以下事项： </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一、减免税进口的货物，应当接受海关监管。 除船舶、飞机、机动车辆外的货物，监管期为三年。监管年限自货物进口放行之日起计算。</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 xml:space="preserve">二、减免税进口的货物在监管期限内只能用于原备案地点或校内其他地点，且只能用于教学和科研，未经海关核准并办理相关手续，不得移作他用。如进行转卖、出租、转让、抵押、质押、留置、移作他用、变更设备使用地点等等，均应通过学校采购中心向海关申报，经海关核准同意后方可处置。 </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 xml:space="preserve">三、仪器设备到货后，落实在职事业编制教职工作为领用人，在完成资产增置前参照《浙江大学仪器设备资产管理办法》做好管理工作。 </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本须知根据《中华人民共和国海关法》、《中华人民共和国进出口关税条例》和《中华人民共和国海关进出口货物征税管理办法》等有关规定制定，有关单位或个人违反有关法律法规，海关将按照规定移交海关调查或者缉私部门处理。</w:t>
      </w:r>
    </w:p>
    <w:p>
      <w:pPr>
        <w:widowControl/>
        <w:spacing w:line="336" w:lineRule="auto"/>
        <w:ind w:firstLine="420"/>
        <w:jc w:val="right"/>
        <w:rPr>
          <w:rFonts w:ascii="宋体" w:hAnsi="宋体" w:cs="宋体"/>
          <w:color w:val="000000"/>
          <w:kern w:val="0"/>
          <w:sz w:val="30"/>
          <w:szCs w:val="30"/>
        </w:rPr>
      </w:pPr>
      <w:r>
        <w:rPr>
          <w:rFonts w:hint="eastAsia" w:ascii="宋体" w:hAnsi="宋体" w:cs="宋体"/>
          <w:color w:val="000000"/>
          <w:kern w:val="0"/>
          <w:sz w:val="30"/>
          <w:szCs w:val="30"/>
        </w:rPr>
        <w:t>采购中心</w:t>
      </w:r>
    </w:p>
    <w:p>
      <w:pPr>
        <w:widowControl/>
        <w:spacing w:line="336" w:lineRule="auto"/>
        <w:ind w:firstLine="420"/>
        <w:jc w:val="right"/>
        <w:rPr>
          <w:rFonts w:ascii="宋体" w:hAnsi="宋体" w:cs="宋体"/>
          <w:color w:val="000000"/>
          <w:kern w:val="0"/>
          <w:sz w:val="21"/>
          <w:szCs w:val="21"/>
        </w:rPr>
      </w:pPr>
      <w:r>
        <w:rPr>
          <w:rFonts w:hint="eastAsia" w:ascii="宋体" w:hAnsi="宋体" w:cs="宋体"/>
          <w:color w:val="000000"/>
          <w:kern w:val="0"/>
          <w:sz w:val="21"/>
          <w:szCs w:val="21"/>
        </w:rPr>
        <w:t>2019年7月10日</w:t>
      </w:r>
    </w:p>
    <w:p>
      <w:pPr>
        <w:widowControl/>
        <w:spacing w:line="336" w:lineRule="auto"/>
        <w:ind w:firstLine="420"/>
        <w:jc w:val="right"/>
        <w:rPr>
          <w:rFonts w:ascii="宋体" w:hAnsi="宋体" w:cs="宋体"/>
          <w:color w:val="000000"/>
          <w:kern w:val="0"/>
          <w:sz w:val="21"/>
          <w:szCs w:val="21"/>
        </w:rPr>
      </w:pPr>
    </w:p>
    <w:p>
      <w:pPr>
        <w:widowControl/>
        <w:ind w:firstLine="420"/>
        <w:jc w:val="center"/>
        <w:rPr>
          <w:rFonts w:ascii="宋体" w:hAnsi="宋体" w:cs="宋体"/>
          <w:color w:val="000000"/>
          <w:kern w:val="0"/>
          <w:sz w:val="36"/>
          <w:szCs w:val="36"/>
        </w:rPr>
      </w:pPr>
      <w:r>
        <w:rPr>
          <w:rFonts w:hint="eastAsia" w:ascii="宋体" w:hAnsi="宋体" w:cs="宋体"/>
          <w:color w:val="000000"/>
          <w:kern w:val="0"/>
          <w:sz w:val="36"/>
          <w:szCs w:val="36"/>
        </w:rPr>
        <w:t>用户阅读须知回执</w:t>
      </w:r>
    </w:p>
    <w:p>
      <w:pPr>
        <w:widowControl/>
        <w:spacing w:line="336" w:lineRule="auto"/>
        <w:ind w:firstLine="420"/>
        <w:rPr>
          <w:rFonts w:ascii="宋体" w:hAnsi="宋体" w:cs="宋体"/>
          <w:color w:val="000000"/>
          <w:kern w:val="0"/>
          <w:sz w:val="30"/>
          <w:szCs w:val="30"/>
        </w:rPr>
      </w:pPr>
      <w:r>
        <w:rPr>
          <w:rFonts w:hint="eastAsia" w:ascii="宋体" w:hAnsi="宋体" w:cs="宋体"/>
          <w:color w:val="000000"/>
          <w:kern w:val="0"/>
          <w:sz w:val="30"/>
          <w:szCs w:val="30"/>
        </w:rPr>
        <w:t xml:space="preserve">采购中心： </w:t>
      </w:r>
    </w:p>
    <w:p>
      <w:pPr>
        <w:widowControl/>
        <w:ind w:firstLine="495" w:firstLineChars="236"/>
        <w:rPr>
          <w:rFonts w:ascii="宋体" w:hAnsi="宋体" w:cs="宋体"/>
          <w:color w:val="000000"/>
          <w:kern w:val="0"/>
          <w:sz w:val="21"/>
          <w:szCs w:val="21"/>
        </w:rPr>
      </w:pPr>
      <w:r>
        <w:rPr>
          <w:rFonts w:hint="eastAsia" w:ascii="宋体" w:hAnsi="宋体" w:cs="宋体"/>
          <w:color w:val="000000"/>
          <w:kern w:val="0"/>
          <w:sz w:val="21"/>
          <w:szCs w:val="21"/>
        </w:rPr>
        <w:t>本人及指定的领用人已阅读《减免税进口设备领用人须知》，愿意遵守有关法律法规，履行相关义务。承诺配合采购中心做好本人所签技术协议所涉及减免税货物在监管期内的监管。在职事业编制设备领用人信息如下：</w:t>
      </w:r>
    </w:p>
    <w:p>
      <w:pPr>
        <w:widowControl/>
        <w:ind w:firstLine="495" w:firstLineChars="236"/>
        <w:rPr>
          <w:rFonts w:ascii="宋体" w:hAnsi="宋体" w:cs="宋体"/>
          <w:kern w:val="0"/>
          <w:sz w:val="21"/>
          <w:szCs w:val="21"/>
        </w:rPr>
      </w:pPr>
    </w:p>
    <w:p>
      <w:pPr>
        <w:widowControl/>
        <w:spacing w:line="336" w:lineRule="auto"/>
        <w:ind w:firstLine="495" w:firstLineChars="236"/>
        <w:rPr>
          <w:rFonts w:ascii="宋体" w:hAnsi="宋体" w:cs="宋体"/>
          <w:kern w:val="0"/>
          <w:sz w:val="21"/>
          <w:szCs w:val="21"/>
        </w:rPr>
      </w:pPr>
      <w:r>
        <w:rPr>
          <w:rFonts w:hint="eastAsia" w:ascii="宋体" w:hAnsi="宋体" w:cs="宋体"/>
          <w:kern w:val="0"/>
          <w:sz w:val="21"/>
          <w:szCs w:val="21"/>
        </w:rPr>
        <w:t>姓名：           工号：             所在院系：</w:t>
      </w:r>
    </w:p>
    <w:p>
      <w:pPr>
        <w:widowControl/>
        <w:spacing w:before="156" w:after="156" w:line="336" w:lineRule="auto"/>
        <w:ind w:firstLine="420"/>
        <w:jc w:val="center"/>
        <w:rPr>
          <w:rFonts w:ascii="宋体" w:hAnsi="宋体" w:cs="宋体"/>
          <w:kern w:val="0"/>
          <w:sz w:val="21"/>
          <w:szCs w:val="21"/>
        </w:rPr>
      </w:pPr>
      <w:r>
        <w:rPr>
          <w:rFonts w:hint="eastAsia" w:ascii="宋体" w:hAnsi="宋体" w:cs="宋体"/>
          <w:kern w:val="0"/>
          <w:sz w:val="21"/>
          <w:szCs w:val="21"/>
        </w:rPr>
        <w:t xml:space="preserve">                   技术协议买方签字人（签字）：</w:t>
      </w:r>
    </w:p>
    <w:p>
      <w:pPr>
        <w:pStyle w:val="13"/>
        <w:snapToGrid w:val="0"/>
        <w:spacing w:beforeLines="0" w:afterLines="0" w:line="288" w:lineRule="auto"/>
        <w:jc w:val="right"/>
        <w:rPr>
          <w:rFonts w:hAnsi="宋体"/>
          <w:b/>
          <w:spacing w:val="-6"/>
        </w:rPr>
      </w:pPr>
      <w:r>
        <w:rPr>
          <w:rFonts w:hint="eastAsia" w:hAnsi="宋体" w:cs="宋体"/>
          <w:color w:val="000000"/>
        </w:rPr>
        <w:t xml:space="preserve">       </w:t>
      </w:r>
      <w:r>
        <w:rPr>
          <w:rFonts w:hint="eastAsia" w:hAnsi="宋体" w:cs="宋体"/>
        </w:rPr>
        <w:t xml:space="preserve">      年    月    日</w:t>
      </w:r>
    </w:p>
    <w:p>
      <w:pPr>
        <w:pStyle w:val="13"/>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pPr>
        <w:adjustRightInd w:val="0"/>
        <w:snapToGrid w:val="0"/>
        <w:spacing w:line="288" w:lineRule="auto"/>
        <w:rPr>
          <w:rFonts w:ascii="宋体" w:hAnsi="宋体"/>
          <w:b/>
          <w:bCs/>
          <w:spacing w:val="-6"/>
          <w:sz w:val="21"/>
          <w:szCs w:val="21"/>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 xml:space="preserve">目 </w:t>
      </w:r>
      <w:r>
        <w:rPr>
          <w:rFonts w:ascii="宋体" w:hAnsi="宋体"/>
          <w:b/>
          <w:bCs/>
          <w:spacing w:val="-6"/>
          <w:sz w:val="21"/>
          <w:szCs w:val="21"/>
        </w:rPr>
        <w:t xml:space="preserve"> </w:t>
      </w:r>
      <w:r>
        <w:rPr>
          <w:rFonts w:hint="eastAsia" w:ascii="宋体" w:hAnsi="宋体"/>
          <w:b/>
          <w:bCs/>
          <w:spacing w:val="-6"/>
          <w:sz w:val="21"/>
          <w:szCs w:val="21"/>
        </w:rPr>
        <w:t>录</w:t>
      </w:r>
    </w:p>
    <w:p>
      <w:pPr>
        <w:adjustRightInd w:val="0"/>
        <w:snapToGrid w:val="0"/>
        <w:spacing w:line="288" w:lineRule="auto"/>
        <w:rPr>
          <w:rFonts w:ascii="宋体" w:hAnsi="宋体"/>
          <w:b/>
          <w:bCs/>
          <w:spacing w:val="-6"/>
          <w:sz w:val="21"/>
          <w:szCs w:val="21"/>
        </w:rPr>
      </w:pP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1.</w:t>
      </w:r>
      <w:r>
        <w:rPr>
          <w:rFonts w:hint="eastAsia" w:ascii="宋体" w:hAnsi="宋体"/>
          <w:b/>
          <w:spacing w:val="-6"/>
          <w:sz w:val="21"/>
          <w:szCs w:val="21"/>
        </w:rPr>
        <w:t>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）中小企业声明函（若属于中小企业）</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3</w:t>
      </w:r>
      <w:r>
        <w:rPr>
          <w:rFonts w:hint="eastAsia" w:hAnsi="宋体"/>
          <w:spacing w:val="-6"/>
          <w:sz w:val="21"/>
          <w:szCs w:val="21"/>
        </w:rPr>
        <w:t>）属于监狱企业的证明文件（若属于监狱企业）</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4</w:t>
      </w:r>
      <w:r>
        <w:rPr>
          <w:rFonts w:hint="eastAsia" w:hAnsi="宋体"/>
          <w:spacing w:val="-6"/>
          <w:sz w:val="21"/>
          <w:szCs w:val="21"/>
        </w:rPr>
        <w:t>）</w:t>
      </w:r>
      <w:bookmarkStart w:id="48" w:name="OLE_LINK14"/>
      <w:bookmarkStart w:id="49" w:name="OLE_LINK13"/>
      <w:r>
        <w:rPr>
          <w:rFonts w:hint="eastAsia" w:hAnsi="宋体"/>
          <w:spacing w:val="-6"/>
          <w:sz w:val="21"/>
          <w:szCs w:val="21"/>
        </w:rPr>
        <w:t>残疾人福利性单位声明函</w:t>
      </w:r>
      <w:bookmarkEnd w:id="48"/>
      <w:bookmarkEnd w:id="49"/>
      <w:r>
        <w:rPr>
          <w:rFonts w:hint="eastAsia" w:hAnsi="宋体"/>
          <w:spacing w:val="-6"/>
          <w:sz w:val="21"/>
          <w:szCs w:val="21"/>
        </w:rPr>
        <w:t>（若属于残疾人福利性单位）</w:t>
      </w:r>
    </w:p>
    <w:p>
      <w:pPr>
        <w:adjustRightInd w:val="0"/>
        <w:snapToGrid w:val="0"/>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hint="eastAsia" w:ascii="宋体" w:hAnsi="宋体"/>
          <w:b/>
          <w:spacing w:val="-6"/>
          <w:sz w:val="21"/>
          <w:szCs w:val="21"/>
        </w:rPr>
        <w:t>资格文件：</w:t>
      </w:r>
    </w:p>
    <w:p>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（1）有效的法人或者其他组织的营业执照等证明文件（复印件），自然人的身份证明；</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（2）2021年12月（含）以后任意一月的财务状况报告（复印件）或开标前三个月内出具的银行资信证明（若资信证明中注明复印无效，需提交正本）；</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（3）2021年12月（含）以后任意一月依法缴纳税收的证明材料（依法免税的投标人，应提供相应文件证明其依法免税）；</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（4）2021年12月（含）以后任意一月依法缴纳社会保障资金的证明材料（依法不需要缴纳社会保障资金的投标人，应提供相应文件证明其依法不需要缴纳社会保障资金）；</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（5）具有履行合同所必需的设备和专业技术能力的承诺函；</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（6）参加政府采购活动前3年内在经营活动中没有重大违法记录的书面声明。</w:t>
      </w: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3.</w:t>
      </w:r>
      <w:r>
        <w:rPr>
          <w:rFonts w:hint="eastAsia" w:ascii="宋体" w:hAnsi="宋体"/>
          <w:b/>
          <w:spacing w:val="-6"/>
          <w:sz w:val="21"/>
          <w:szCs w:val="21"/>
        </w:rPr>
        <w:t>商务和技术文件：</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）法定代表人授权委托书</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w:t>
      </w:r>
      <w:r>
        <w:rPr>
          <w:rFonts w:hint="eastAsia" w:hAnsi="宋体"/>
          <w:b/>
          <w:spacing w:val="-6"/>
          <w:sz w:val="21"/>
          <w:szCs w:val="21"/>
        </w:rPr>
        <w:t>2021年12月（含）以后任意一月</w:t>
      </w:r>
      <w:r>
        <w:rPr>
          <w:rFonts w:hAnsi="宋体"/>
          <w:spacing w:val="-6"/>
          <w:sz w:val="21"/>
          <w:szCs w:val="21"/>
        </w:rPr>
        <w:t>投标授权代表社保缴纳证明</w:t>
      </w:r>
    </w:p>
    <w:p>
      <w:pPr>
        <w:pStyle w:val="11"/>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3</w:t>
      </w:r>
      <w:r>
        <w:rPr>
          <w:rFonts w:hint="eastAsia" w:hAnsi="宋体"/>
          <w:spacing w:val="-6"/>
          <w:sz w:val="21"/>
          <w:szCs w:val="21"/>
        </w:rPr>
        <w:t>）投标人同类合同一览表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4</w:t>
      </w:r>
      <w:r>
        <w:rPr>
          <w:rFonts w:hint="eastAsia" w:ascii="宋体" w:hAnsi="宋体"/>
          <w:spacing w:val="-6"/>
          <w:sz w:val="21"/>
          <w:szCs w:val="21"/>
        </w:rPr>
        <w:t>）采购</w:t>
      </w:r>
      <w:r>
        <w:rPr>
          <w:rFonts w:ascii="宋体" w:hAnsi="宋体"/>
          <w:spacing w:val="-6"/>
          <w:sz w:val="21"/>
          <w:szCs w:val="21"/>
        </w:rPr>
        <w:t>需求</w:t>
      </w:r>
      <w:r>
        <w:rPr>
          <w:rFonts w:hint="eastAsia" w:ascii="宋体" w:hAnsi="宋体"/>
          <w:spacing w:val="-6"/>
          <w:sz w:val="21"/>
          <w:szCs w:val="21"/>
        </w:rPr>
        <w:t>偏离表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5</w:t>
      </w:r>
      <w:r>
        <w:rPr>
          <w:rFonts w:hint="eastAsia" w:ascii="宋体" w:hAnsi="宋体"/>
          <w:spacing w:val="-6"/>
          <w:sz w:val="21"/>
          <w:szCs w:val="21"/>
        </w:rPr>
        <w:t>）标的物</w:t>
      </w:r>
      <w:r>
        <w:rPr>
          <w:rFonts w:ascii="宋体" w:hAnsi="宋体"/>
          <w:spacing w:val="-6"/>
          <w:sz w:val="21"/>
          <w:szCs w:val="21"/>
        </w:rPr>
        <w:t>配置清单（不含报价）</w:t>
      </w:r>
    </w:p>
    <w:p>
      <w:pPr>
        <w:adjustRightInd w:val="0"/>
        <w:snapToGrid w:val="0"/>
        <w:spacing w:line="288" w:lineRule="auto"/>
        <w:ind w:firstLine="396" w:firstLineChars="200"/>
        <w:jc w:val="left"/>
        <w:rPr>
          <w:rFonts w:hint="eastAsia" w:ascii="宋体" w:hAnsi="宋体" w:cs="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6</w:t>
      </w:r>
      <w:r>
        <w:rPr>
          <w:rFonts w:hint="eastAsia" w:ascii="宋体" w:hAnsi="宋体"/>
          <w:spacing w:val="-6"/>
          <w:sz w:val="21"/>
          <w:szCs w:val="21"/>
        </w:rPr>
        <w:t>）</w:t>
      </w:r>
      <w:r>
        <w:rPr>
          <w:rFonts w:hint="eastAsia" w:ascii="宋体" w:hAnsi="宋体" w:cs="宋体"/>
          <w:spacing w:val="-6"/>
          <w:sz w:val="21"/>
          <w:szCs w:val="21"/>
        </w:rPr>
        <w:t>人员要求</w:t>
      </w:r>
    </w:p>
    <w:p>
      <w:pPr>
        <w:adjustRightInd w:val="0"/>
        <w:snapToGrid w:val="0"/>
        <w:spacing w:line="288" w:lineRule="auto"/>
        <w:ind w:firstLine="396" w:firstLineChars="200"/>
        <w:jc w:val="left"/>
        <w:rPr>
          <w:rFonts w:hint="eastAsia" w:ascii="宋体" w:hAnsi="宋体" w:cs="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7</w:t>
      </w:r>
      <w:r>
        <w:rPr>
          <w:rFonts w:hint="eastAsia" w:ascii="宋体" w:hAnsi="宋体"/>
          <w:spacing w:val="-6"/>
          <w:sz w:val="21"/>
          <w:szCs w:val="21"/>
        </w:rPr>
        <w:t>）</w:t>
      </w:r>
      <w:r>
        <w:rPr>
          <w:rFonts w:hint="eastAsia" w:ascii="宋体" w:hAnsi="宋体" w:cs="宋体"/>
          <w:spacing w:val="-6"/>
          <w:sz w:val="21"/>
          <w:szCs w:val="21"/>
        </w:rPr>
        <w:t>技术方案</w:t>
      </w:r>
    </w:p>
    <w:p>
      <w:pPr>
        <w:adjustRightInd w:val="0"/>
        <w:snapToGrid w:val="0"/>
        <w:spacing w:line="288" w:lineRule="auto"/>
        <w:ind w:firstLine="396" w:firstLineChars="200"/>
        <w:jc w:val="left"/>
        <w:rPr>
          <w:rFonts w:hint="eastAsia" w:ascii="宋体" w:hAnsi="宋体" w:cs="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8</w:t>
      </w:r>
      <w:r>
        <w:rPr>
          <w:rFonts w:hint="eastAsia" w:ascii="宋体" w:hAnsi="宋体"/>
          <w:spacing w:val="-6"/>
          <w:sz w:val="21"/>
          <w:szCs w:val="21"/>
        </w:rPr>
        <w:t>）</w:t>
      </w:r>
      <w:r>
        <w:rPr>
          <w:rFonts w:hint="eastAsia" w:ascii="宋体" w:hAnsi="宋体" w:cs="宋体"/>
          <w:spacing w:val="-6"/>
          <w:sz w:val="21"/>
          <w:szCs w:val="21"/>
        </w:rPr>
        <w:t>实施方案</w:t>
      </w:r>
    </w:p>
    <w:p>
      <w:pPr>
        <w:adjustRightInd w:val="0"/>
        <w:snapToGrid w:val="0"/>
        <w:spacing w:line="288" w:lineRule="auto"/>
        <w:ind w:firstLine="396" w:firstLineChars="200"/>
        <w:jc w:val="left"/>
        <w:rPr>
          <w:rFonts w:hint="eastAsia" w:ascii="宋体" w:hAnsi="宋体" w:cs="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9</w:t>
      </w:r>
      <w:r>
        <w:rPr>
          <w:rFonts w:hint="eastAsia" w:ascii="宋体" w:hAnsi="宋体"/>
          <w:spacing w:val="-6"/>
          <w:sz w:val="21"/>
          <w:szCs w:val="21"/>
        </w:rPr>
        <w:t>）</w:t>
      </w:r>
      <w:r>
        <w:rPr>
          <w:rFonts w:hint="eastAsia" w:ascii="宋体" w:hAnsi="宋体" w:cs="宋体"/>
          <w:spacing w:val="-6"/>
          <w:sz w:val="21"/>
          <w:szCs w:val="21"/>
        </w:rPr>
        <w:t>应急保障方案</w:t>
      </w:r>
    </w:p>
    <w:p>
      <w:pPr>
        <w:adjustRightInd w:val="0"/>
        <w:snapToGrid w:val="0"/>
        <w:spacing w:line="288" w:lineRule="auto"/>
        <w:ind w:firstLine="396" w:firstLineChars="200"/>
        <w:jc w:val="left"/>
        <w:rPr>
          <w:rFonts w:hint="eastAsia" w:ascii="宋体" w:hAnsi="宋体" w:cs="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10</w:t>
      </w:r>
      <w:r>
        <w:rPr>
          <w:rFonts w:hint="eastAsia" w:ascii="宋体" w:hAnsi="宋体"/>
          <w:spacing w:val="-6"/>
          <w:sz w:val="21"/>
          <w:szCs w:val="21"/>
        </w:rPr>
        <w:t>）</w:t>
      </w:r>
      <w:r>
        <w:rPr>
          <w:rFonts w:hint="eastAsia" w:ascii="宋体" w:hAnsi="宋体" w:cs="宋体"/>
          <w:spacing w:val="-6"/>
          <w:sz w:val="21"/>
          <w:szCs w:val="21"/>
        </w:rPr>
        <w:t>售后服务方案</w:t>
      </w:r>
    </w:p>
    <w:p>
      <w:pPr>
        <w:adjustRightInd w:val="0"/>
        <w:snapToGrid w:val="0"/>
        <w:spacing w:line="288" w:lineRule="auto"/>
        <w:ind w:firstLine="396" w:firstLineChars="200"/>
        <w:jc w:val="left"/>
        <w:rPr>
          <w:rFonts w:hint="eastAsia" w:ascii="宋体" w:hAnsi="宋体" w:cs="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11</w:t>
      </w:r>
      <w:r>
        <w:rPr>
          <w:rFonts w:hint="eastAsia" w:ascii="宋体" w:hAnsi="宋体"/>
          <w:spacing w:val="-6"/>
          <w:sz w:val="21"/>
          <w:szCs w:val="21"/>
        </w:rPr>
        <w:t>）</w:t>
      </w:r>
      <w:r>
        <w:rPr>
          <w:rFonts w:hint="eastAsia" w:ascii="宋体" w:hAnsi="宋体" w:cs="宋体"/>
          <w:spacing w:val="-6"/>
          <w:sz w:val="21"/>
          <w:szCs w:val="21"/>
        </w:rPr>
        <w:t>培训方案</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spacing w:val="-6"/>
          <w:sz w:val="21"/>
          <w:szCs w:val="21"/>
        </w:rPr>
        <w:t>（</w:t>
      </w:r>
      <w:r>
        <w:rPr>
          <w:rFonts w:hint="eastAsia" w:ascii="宋体" w:hAnsi="宋体"/>
          <w:spacing w:val="-6"/>
          <w:sz w:val="21"/>
          <w:szCs w:val="21"/>
          <w:lang w:val="en-US" w:eastAsia="zh-CN"/>
        </w:rPr>
        <w:t>12</w:t>
      </w:r>
      <w:r>
        <w:rPr>
          <w:rFonts w:hint="eastAsia" w:ascii="宋体" w:hAnsi="宋体"/>
          <w:spacing w:val="-6"/>
          <w:sz w:val="21"/>
          <w:szCs w:val="21"/>
        </w:rPr>
        <w:t>）</w:t>
      </w:r>
      <w:r>
        <w:rPr>
          <w:rFonts w:hint="eastAsia" w:ascii="宋体" w:hAnsi="宋体" w:cs="宋体"/>
          <w:spacing w:val="-6"/>
          <w:sz w:val="21"/>
          <w:szCs w:val="21"/>
        </w:rPr>
        <w:t>备品备件</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w:t>
      </w:r>
      <w:r>
        <w:rPr>
          <w:rFonts w:hint="eastAsia" w:ascii="宋体" w:hAnsi="宋体"/>
          <w:spacing w:val="-6"/>
          <w:sz w:val="21"/>
          <w:szCs w:val="21"/>
          <w:lang w:val="en-US" w:eastAsia="zh-CN"/>
        </w:rPr>
        <w:t>3</w:t>
      </w:r>
      <w:r>
        <w:rPr>
          <w:rFonts w:hint="eastAsia" w:ascii="宋体" w:hAnsi="宋体"/>
          <w:spacing w:val="-6"/>
          <w:sz w:val="21"/>
          <w:szCs w:val="21"/>
        </w:rPr>
        <w:t>）节能、环保产品证明材料</w:t>
      </w:r>
    </w:p>
    <w:p>
      <w:pPr>
        <w:adjustRightInd w:val="0"/>
        <w:snapToGrid w:val="0"/>
        <w:spacing w:line="288" w:lineRule="auto"/>
        <w:ind w:firstLine="396" w:firstLineChars="200"/>
        <w:jc w:val="left"/>
        <w:rPr>
          <w:rFonts w:ascii="宋体" w:hAnsi="宋体" w:cs="宋体"/>
          <w:spacing w:val="-6"/>
          <w:sz w:val="21"/>
          <w:szCs w:val="21"/>
        </w:rPr>
      </w:pPr>
      <w:r>
        <w:rPr>
          <w:rFonts w:hint="eastAsia" w:ascii="宋体" w:hAnsi="宋体" w:cs="宋体"/>
          <w:spacing w:val="-6"/>
          <w:sz w:val="21"/>
          <w:szCs w:val="21"/>
        </w:rPr>
        <w:t>（1</w:t>
      </w:r>
      <w:r>
        <w:rPr>
          <w:rFonts w:hint="eastAsia" w:ascii="宋体" w:hAnsi="宋体" w:cs="宋体"/>
          <w:spacing w:val="-6"/>
          <w:sz w:val="21"/>
          <w:szCs w:val="21"/>
          <w:lang w:val="en-US" w:eastAsia="zh-CN"/>
        </w:rPr>
        <w:t>4</w:t>
      </w:r>
      <w:r>
        <w:rPr>
          <w:rFonts w:hint="eastAsia" w:ascii="宋体" w:hAnsi="宋体" w:cs="宋体"/>
          <w:spacing w:val="-6"/>
          <w:sz w:val="21"/>
          <w:szCs w:val="21"/>
        </w:rPr>
        <w:t>）科技创新相关证明材料</w:t>
      </w:r>
    </w:p>
    <w:p>
      <w:pPr>
        <w:adjustRightInd w:val="0"/>
        <w:snapToGrid w:val="0"/>
        <w:spacing w:line="288" w:lineRule="auto"/>
        <w:ind w:firstLine="396" w:firstLineChars="200"/>
        <w:jc w:val="left"/>
        <w:rPr>
          <w:rFonts w:ascii="宋体" w:hAnsi="宋体" w:cs="宋体"/>
          <w:spacing w:val="-6"/>
          <w:sz w:val="21"/>
          <w:szCs w:val="21"/>
          <w:highlight w:val="yellow"/>
        </w:rPr>
      </w:pPr>
      <w:r>
        <w:rPr>
          <w:rFonts w:hint="eastAsia" w:ascii="宋体" w:hAnsi="宋体" w:cs="宋体"/>
          <w:spacing w:val="-6"/>
          <w:sz w:val="21"/>
          <w:szCs w:val="21"/>
        </w:rPr>
        <w:t>（1</w:t>
      </w:r>
      <w:r>
        <w:rPr>
          <w:rFonts w:hint="eastAsia" w:ascii="宋体" w:hAnsi="宋体" w:cs="宋体"/>
          <w:spacing w:val="-6"/>
          <w:sz w:val="21"/>
          <w:szCs w:val="21"/>
          <w:lang w:val="en-US" w:eastAsia="zh-CN"/>
        </w:rPr>
        <w:t>5</w:t>
      </w:r>
      <w:r>
        <w:rPr>
          <w:rFonts w:ascii="宋体" w:hAnsi="宋体" w:cs="宋体"/>
          <w:spacing w:val="-6"/>
          <w:sz w:val="21"/>
          <w:szCs w:val="21"/>
        </w:rPr>
        <w:t>）投标人需要说明的其他文件和材料</w:t>
      </w:r>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项目名称：等保配套安全设备扩容建设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项目编号：QSZB-Z(H)-A22241(GK)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hint="eastAsia" w:ascii="宋体" w:hAnsi="宋体"/>
          <w:bCs/>
          <w:spacing w:val="-6"/>
          <w:sz w:val="21"/>
          <w:szCs w:val="21"/>
        </w:rPr>
        <w:t>报价文件</w:t>
      </w:r>
      <w:r>
        <w:rPr>
          <w:rFonts w:hint="eastAsia" w:ascii="宋体" w:hAnsi="宋体"/>
          <w:spacing w:val="-6"/>
          <w:sz w:val="21"/>
          <w:szCs w:val="21"/>
        </w:rPr>
        <w:t>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投标文件</w:t>
      </w:r>
    </w:p>
    <w:p>
      <w:pPr>
        <w:adjustRightInd w:val="0"/>
        <w:snapToGrid w:val="0"/>
        <w:spacing w:line="288" w:lineRule="auto"/>
        <w:rPr>
          <w:rFonts w:ascii="宋体" w:hAnsi="宋体"/>
          <w:b/>
          <w:spacing w:val="-6"/>
          <w:sz w:val="21"/>
          <w:szCs w:val="21"/>
        </w:rPr>
      </w:pP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（报价文件）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项目名称：等保配套安全设备扩容建设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项目编号：QSZB-Z(H)-A22241(GK)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jc w:val="center"/>
        <w:outlineLvl w:val="1"/>
        <w:rPr>
          <w:rFonts w:ascii="宋体" w:hAnsi="宋体"/>
          <w:b/>
          <w:spacing w:val="-6"/>
          <w:sz w:val="32"/>
          <w:szCs w:val="32"/>
        </w:rPr>
      </w:pPr>
      <w:r>
        <w:rPr>
          <w:rFonts w:ascii="宋体" w:hAnsi="宋体"/>
          <w:bCs/>
          <w:spacing w:val="-6"/>
          <w:sz w:val="21"/>
          <w:szCs w:val="21"/>
        </w:rPr>
        <w:br w:type="page"/>
      </w:r>
      <w:r>
        <w:rPr>
          <w:rFonts w:hint="eastAsia" w:ascii="宋体" w:hAnsi="宋体"/>
          <w:b/>
          <w:spacing w:val="-6"/>
          <w:sz w:val="32"/>
          <w:szCs w:val="32"/>
        </w:rPr>
        <w:t>报价文件</w:t>
      </w:r>
    </w:p>
    <w:p>
      <w:pPr>
        <w:adjustRightInd w:val="0"/>
        <w:snapToGrid w:val="0"/>
        <w:spacing w:line="288" w:lineRule="auto"/>
        <w:jc w:val="center"/>
        <w:outlineLvl w:val="2"/>
        <w:rPr>
          <w:rFonts w:ascii="宋体" w:hAnsi="宋体"/>
          <w:b/>
          <w:spacing w:val="-6"/>
          <w:sz w:val="21"/>
          <w:szCs w:val="21"/>
        </w:rPr>
      </w:pPr>
      <w:r>
        <w:rPr>
          <w:rFonts w:hint="eastAsia" w:ascii="宋体" w:hAnsi="宋体"/>
          <w:b/>
          <w:spacing w:val="-6"/>
          <w:sz w:val="21"/>
          <w:szCs w:val="21"/>
        </w:rPr>
        <w:t>（1）开标一览表</w:t>
      </w:r>
    </w:p>
    <w:p>
      <w:pPr>
        <w:adjustRightInd w:val="0"/>
        <w:snapToGrid w:val="0"/>
        <w:spacing w:line="288" w:lineRule="auto"/>
        <w:rPr>
          <w:rFonts w:ascii="宋体" w:hAnsi="宋体"/>
          <w:b/>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 购 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项目名称：等保配套安全设备扩容建设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项目编号：QSZB-Z(H)-A22241(GK)</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规格型号</w:t>
            </w: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cs="宋体"/>
                <w:b/>
                <w:bCs/>
                <w:sz w:val="21"/>
                <w:szCs w:val="21"/>
              </w:rPr>
            </w:pPr>
            <w:r>
              <w:rPr>
                <w:rFonts w:hint="eastAsia" w:ascii="宋体" w:hAnsi="宋体"/>
                <w:b/>
                <w:spacing w:val="-6"/>
                <w:sz w:val="21"/>
                <w:szCs w:val="21"/>
              </w:rPr>
              <w:t>说明：</w:t>
            </w:r>
            <w:r>
              <w:rPr>
                <w:rFonts w:hint="eastAsia" w:ascii="宋体" w:hAnsi="宋体"/>
                <w:bCs/>
                <w:spacing w:val="-6"/>
                <w:sz w:val="21"/>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投标总价（人民币元）</w:t>
            </w:r>
          </w:p>
          <w:p>
            <w:pPr>
              <w:adjustRightInd w:val="0"/>
              <w:snapToGrid w:val="0"/>
              <w:spacing w:line="288" w:lineRule="auto"/>
              <w:rPr>
                <w:rFonts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小写：_________________________</w:t>
            </w:r>
          </w:p>
          <w:p>
            <w:pPr>
              <w:adjustRightInd w:val="0"/>
              <w:snapToGrid w:val="0"/>
              <w:spacing w:line="288" w:lineRule="auto"/>
              <w:rPr>
                <w:rFonts w:ascii="宋体" w:hAnsi="宋体" w:cs="宋体"/>
                <w:b/>
                <w:bCs/>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大写：_________________________</w:t>
            </w:r>
          </w:p>
          <w:p>
            <w:pPr>
              <w:adjustRightInd w:val="0"/>
              <w:snapToGrid w:val="0"/>
              <w:spacing w:line="288" w:lineRule="auto"/>
              <w:rPr>
                <w:rFonts w:ascii="宋体" w:hAnsi="宋体" w:cs="宋体"/>
                <w:b/>
                <w:bCs/>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Cs/>
          <w:spacing w:val="-6"/>
          <w:sz w:val="21"/>
          <w:szCs w:val="21"/>
        </w:rPr>
      </w:pPr>
      <w:r>
        <w:rPr>
          <w:rFonts w:ascii="宋体" w:hAnsi="宋体"/>
          <w:bCs/>
          <w:spacing w:val="-6"/>
          <w:sz w:val="21"/>
          <w:szCs w:val="21"/>
        </w:rPr>
        <w:t>1.</w:t>
      </w:r>
      <w:r>
        <w:rPr>
          <w:rFonts w:hint="eastAsia" w:ascii="宋体" w:hAnsi="宋体"/>
          <w:bCs/>
          <w:spacing w:val="-6"/>
          <w:sz w:val="21"/>
          <w:szCs w:val="21"/>
        </w:rPr>
        <w:t>此表在不改变格式要求的情况下，可自行增行。</w:t>
      </w:r>
    </w:p>
    <w:p>
      <w:pPr>
        <w:adjustRightInd w:val="0"/>
        <w:snapToGrid w:val="0"/>
        <w:spacing w:line="288" w:lineRule="auto"/>
        <w:jc w:val="left"/>
        <w:rPr>
          <w:rFonts w:ascii="宋体" w:hAnsi="宋体"/>
          <w:b/>
          <w:spacing w:val="-6"/>
          <w:sz w:val="21"/>
          <w:szCs w:val="21"/>
        </w:rPr>
      </w:pPr>
      <w:r>
        <w:rPr>
          <w:rFonts w:ascii="宋体" w:hAnsi="宋体"/>
          <w:bCs/>
          <w:spacing w:val="-6"/>
          <w:sz w:val="21"/>
          <w:szCs w:val="21"/>
        </w:rPr>
        <w:t>2.有关本项目实施所涉及的一切费用均计入报价。</w:t>
      </w:r>
    </w:p>
    <w:p>
      <w:pPr>
        <w:adjustRightInd w:val="0"/>
        <w:snapToGrid w:val="0"/>
        <w:spacing w:line="288" w:lineRule="auto"/>
        <w:jc w:val="left"/>
        <w:rPr>
          <w:rFonts w:ascii="宋体" w:hAnsi="宋体"/>
          <w:b/>
          <w:spacing w:val="-6"/>
          <w:sz w:val="21"/>
          <w:szCs w:val="21"/>
        </w:rPr>
      </w:pPr>
      <w:r>
        <w:rPr>
          <w:rFonts w:ascii="宋体" w:hAnsi="宋体"/>
          <w:b/>
          <w:spacing w:val="-6"/>
          <w:sz w:val="21"/>
          <w:szCs w:val="21"/>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pStyle w:val="13"/>
        <w:adjustRightInd w:val="0"/>
        <w:snapToGrid w:val="0"/>
        <w:spacing w:beforeLines="0" w:afterLines="0" w:line="288" w:lineRule="auto"/>
        <w:jc w:val="center"/>
        <w:outlineLvl w:val="1"/>
        <w:rPr>
          <w:rFonts w:hAnsi="宋体"/>
          <w:b/>
          <w:bCs/>
          <w:sz w:val="21"/>
          <w:szCs w:val="21"/>
        </w:rPr>
      </w:pPr>
      <w:r>
        <w:rPr>
          <w:rFonts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w:t>
      </w:r>
      <w:r>
        <w:rPr>
          <w:rFonts w:ascii="宋体" w:hAnsi="宋体"/>
          <w:b/>
          <w:bCs/>
          <w:sz w:val="21"/>
          <w:szCs w:val="21"/>
        </w:rPr>
        <w:t>中小企业声明函（货物）</w:t>
      </w:r>
      <w:r>
        <w:rPr>
          <w:rFonts w:hint="eastAsia" w:ascii="宋体" w:hAnsi="宋体"/>
          <w:b/>
          <w:bCs/>
          <w:sz w:val="21"/>
          <w:szCs w:val="21"/>
        </w:rPr>
        <w:t>（若属于中小企业）</w:t>
      </w:r>
    </w:p>
    <w:p>
      <w:pPr>
        <w:adjustRightInd w:val="0"/>
        <w:snapToGrid w:val="0"/>
        <w:spacing w:line="288" w:lineRule="auto"/>
        <w:ind w:firstLine="498" w:firstLineChars="236"/>
        <w:rPr>
          <w:rFonts w:ascii="宋体" w:hAnsi="宋体"/>
          <w:b/>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本公司郑重声明，根据《政府采购促进中小企业发展管理办法》（财库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号）的规定，本公司参加</w:t>
      </w:r>
      <w:r>
        <w:rPr>
          <w:rFonts w:ascii="宋体" w:hAnsi="宋体"/>
          <w:i/>
          <w:sz w:val="21"/>
          <w:szCs w:val="21"/>
          <w:u w:val="single"/>
        </w:rPr>
        <w:t>（</w:t>
      </w:r>
      <w:r>
        <w:rPr>
          <w:rFonts w:hint="eastAsia" w:ascii="宋体" w:hAnsi="宋体"/>
          <w:i/>
          <w:sz w:val="21"/>
          <w:szCs w:val="21"/>
          <w:u w:val="single"/>
        </w:rPr>
        <w:t>浙江大学</w:t>
      </w:r>
      <w:r>
        <w:rPr>
          <w:rFonts w:ascii="宋体" w:hAnsi="宋体"/>
          <w:i/>
          <w:sz w:val="21"/>
          <w:szCs w:val="21"/>
          <w:u w:val="single"/>
        </w:rPr>
        <w:t>）</w:t>
      </w:r>
      <w:r>
        <w:rPr>
          <w:rFonts w:ascii="宋体" w:hAnsi="宋体"/>
          <w:sz w:val="21"/>
          <w:szCs w:val="21"/>
        </w:rPr>
        <w:t>的</w:t>
      </w:r>
      <w:r>
        <w:rPr>
          <w:rFonts w:ascii="宋体" w:hAnsi="宋体"/>
          <w:i/>
          <w:sz w:val="21"/>
          <w:szCs w:val="21"/>
          <w:u w:val="single"/>
        </w:rPr>
        <w:t>（</w:t>
      </w:r>
      <w:r>
        <w:rPr>
          <w:rFonts w:hint="eastAsia" w:ascii="宋体" w:hAnsi="宋体"/>
          <w:i/>
          <w:sz w:val="21"/>
          <w:szCs w:val="21"/>
          <w:u w:val="single"/>
        </w:rPr>
        <w:t>等保配套安全设备扩容建设</w:t>
      </w:r>
      <w:r>
        <w:rPr>
          <w:rFonts w:ascii="宋体" w:hAnsi="宋体"/>
          <w:i/>
          <w:sz w:val="21"/>
          <w:szCs w:val="21"/>
          <w:u w:val="single"/>
        </w:rPr>
        <w:t>）</w:t>
      </w:r>
      <w:r>
        <w:rPr>
          <w:rFonts w:ascii="宋体" w:hAnsi="宋体"/>
          <w:sz w:val="21"/>
          <w:szCs w:val="21"/>
        </w:rPr>
        <w:t>采购活动，提供的货物</w:t>
      </w:r>
      <w:r>
        <w:rPr>
          <w:rFonts w:ascii="宋体" w:hAnsi="宋体"/>
          <w:b/>
          <w:bCs/>
          <w:sz w:val="21"/>
          <w:szCs w:val="21"/>
        </w:rPr>
        <w:t>全部</w:t>
      </w:r>
      <w:r>
        <w:rPr>
          <w:rFonts w:ascii="宋体" w:hAnsi="宋体"/>
          <w:sz w:val="21"/>
          <w:szCs w:val="21"/>
        </w:rPr>
        <w:t>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sz w:val="21"/>
          <w:szCs w:val="21"/>
        </w:rPr>
      </w:pPr>
      <w:r>
        <w:rPr>
          <w:rFonts w:ascii="宋体" w:hAnsi="宋体"/>
          <w:i/>
          <w:sz w:val="21"/>
          <w:szCs w:val="21"/>
          <w:u w:val="single"/>
        </w:rPr>
        <w:t>1. （标的名称）</w:t>
      </w:r>
      <w:r>
        <w:rPr>
          <w:rFonts w:ascii="宋体" w:hAnsi="宋体"/>
          <w:i/>
          <w:sz w:val="21"/>
          <w:szCs w:val="21"/>
        </w:rPr>
        <w:t xml:space="preserve"> </w:t>
      </w:r>
      <w:r>
        <w:rPr>
          <w:rFonts w:ascii="宋体" w:hAnsi="宋体"/>
          <w:sz w:val="21"/>
          <w:szCs w:val="21"/>
        </w:rPr>
        <w:t>，属于</w:t>
      </w:r>
      <w:r>
        <w:rPr>
          <w:rFonts w:ascii="宋体" w:hAnsi="宋体"/>
          <w:i/>
          <w:sz w:val="21"/>
          <w:szCs w:val="21"/>
          <w:u w:val="single"/>
        </w:rPr>
        <w:t>（</w:t>
      </w:r>
      <w:r>
        <w:rPr>
          <w:rFonts w:hint="eastAsia" w:ascii="宋体" w:hAnsi="宋体"/>
          <w:i/>
          <w:sz w:val="21"/>
          <w:szCs w:val="21"/>
          <w:u w:val="single"/>
        </w:rPr>
        <w:t>工业</w:t>
      </w:r>
      <w:r>
        <w:rPr>
          <w:rFonts w:ascii="宋体" w:hAnsi="宋体"/>
          <w:i/>
          <w:sz w:val="21"/>
          <w:szCs w:val="21"/>
          <w:u w:val="single"/>
        </w:rPr>
        <w:t>）行业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i/>
          <w:sz w:val="21"/>
          <w:szCs w:val="21"/>
          <w:u w:val="single"/>
        </w:rPr>
        <w:t>2. （标的名称）</w:t>
      </w:r>
      <w:r>
        <w:rPr>
          <w:rFonts w:ascii="宋体" w:hAnsi="宋体"/>
          <w:i/>
          <w:sz w:val="21"/>
          <w:szCs w:val="21"/>
        </w:rPr>
        <w:t xml:space="preserve"> </w:t>
      </w:r>
      <w:r>
        <w:rPr>
          <w:rFonts w:ascii="宋体" w:hAnsi="宋体"/>
          <w:sz w:val="21"/>
          <w:szCs w:val="21"/>
        </w:rPr>
        <w:t>，属于</w:t>
      </w:r>
      <w:r>
        <w:rPr>
          <w:rFonts w:ascii="宋体" w:hAnsi="宋体"/>
          <w:i/>
          <w:sz w:val="21"/>
          <w:szCs w:val="21"/>
        </w:rPr>
        <w:t>（</w:t>
      </w:r>
      <w:r>
        <w:rPr>
          <w:rFonts w:hint="eastAsia" w:ascii="宋体" w:hAnsi="宋体"/>
          <w:i/>
          <w:sz w:val="21"/>
          <w:szCs w:val="21"/>
          <w:u w:val="single"/>
        </w:rPr>
        <w:t>工业</w:t>
      </w:r>
      <w:r>
        <w:rPr>
          <w:rFonts w:ascii="宋体" w:hAnsi="宋体"/>
          <w:i/>
          <w:sz w:val="21"/>
          <w:szCs w:val="21"/>
          <w:u w:val="single"/>
        </w:rPr>
        <w:t>）行业</w:t>
      </w:r>
      <w:r>
        <w:rPr>
          <w:rFonts w:ascii="宋体" w:hAnsi="宋体"/>
          <w:sz w:val="21"/>
          <w:szCs w:val="21"/>
        </w:rPr>
        <w:t>；制造商为</w:t>
      </w:r>
      <w:r>
        <w:rPr>
          <w:rFonts w:ascii="宋体" w:hAnsi="宋体"/>
          <w:i/>
          <w:sz w:val="21"/>
          <w:szCs w:val="21"/>
          <w:u w:val="single"/>
        </w:rPr>
        <w:t>（企业名称）</w:t>
      </w:r>
      <w:r>
        <w:rPr>
          <w:rFonts w:ascii="宋体" w:hAnsi="宋体"/>
          <w:sz w:val="21"/>
          <w:szCs w:val="21"/>
        </w:rPr>
        <w:t>，从业人员</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人，营业收入为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万元，资产总额为</w:t>
      </w:r>
      <w:r>
        <w:rPr>
          <w:rFonts w:ascii="宋体" w:hAnsi="宋体"/>
          <w:sz w:val="21"/>
          <w:szCs w:val="21"/>
          <w:u w:val="single"/>
        </w:rPr>
        <w:t xml:space="preserve"> </w:t>
      </w:r>
      <w:r>
        <w:rPr>
          <w:rFonts w:ascii="宋体" w:hAnsi="宋体"/>
          <w:sz w:val="21"/>
          <w:szCs w:val="21"/>
          <w:u w:val="single"/>
        </w:rPr>
        <w:tab/>
      </w:r>
      <w:r>
        <w:rPr>
          <w:rFonts w:ascii="宋体" w:hAnsi="宋体"/>
          <w:sz w:val="21"/>
          <w:szCs w:val="21"/>
        </w:rPr>
        <w:t>万元，属于</w:t>
      </w:r>
      <w:r>
        <w:rPr>
          <w:rFonts w:ascii="宋体" w:hAnsi="宋体"/>
          <w:i/>
          <w:sz w:val="21"/>
          <w:szCs w:val="21"/>
          <w:u w:val="single"/>
        </w:rPr>
        <w:t>（中型企业、小型企业、微型企业）</w:t>
      </w:r>
      <w:r>
        <w:rPr>
          <w:rFonts w:hint="eastAsia"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w:t>
      </w:r>
    </w:p>
    <w:p>
      <w:pPr>
        <w:adjustRightInd w:val="0"/>
        <w:snapToGrid w:val="0"/>
        <w:spacing w:line="288" w:lineRule="auto"/>
        <w:ind w:firstLine="495" w:firstLineChars="236"/>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sz w:val="21"/>
          <w:szCs w:val="21"/>
        </w:rPr>
      </w:pPr>
      <w:r>
        <w:rPr>
          <w:rFonts w:ascii="宋体" w:hAnsi="宋体"/>
          <w:sz w:val="21"/>
          <w:szCs w:val="21"/>
        </w:rPr>
        <w:t>本企业对上述声明内容的真实性负责。如有虚假，将依法承担相应责任。</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ascii="宋体" w:hAnsi="宋体"/>
          <w:sz w:val="21"/>
          <w:szCs w:val="21"/>
        </w:rPr>
        <w:t>企业名称（盖章）：</w:t>
      </w:r>
    </w:p>
    <w:p>
      <w:pPr>
        <w:adjustRightInd w:val="0"/>
        <w:snapToGrid w:val="0"/>
        <w:spacing w:line="288" w:lineRule="auto"/>
        <w:ind w:firstLine="495" w:firstLineChars="236"/>
        <w:rPr>
          <w:rFonts w:ascii="宋体" w:hAnsi="宋体"/>
          <w:sz w:val="21"/>
          <w:szCs w:val="21"/>
        </w:rPr>
      </w:pPr>
      <w:r>
        <w:rPr>
          <w:rFonts w:ascii="宋体" w:hAnsi="宋体"/>
          <w:sz w:val="21"/>
          <w:szCs w:val="21"/>
        </w:rPr>
        <w:t>日期：</w:t>
      </w:r>
    </w:p>
    <w:p>
      <w:pPr>
        <w:adjustRightInd w:val="0"/>
        <w:snapToGrid w:val="0"/>
        <w:spacing w:line="288" w:lineRule="auto"/>
        <w:ind w:firstLine="495" w:firstLineChars="236"/>
        <w:rPr>
          <w:rFonts w:ascii="宋体" w:hAnsi="宋体"/>
          <w:sz w:val="21"/>
          <w:szCs w:val="21"/>
        </w:rPr>
      </w:pP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sz w:val="21"/>
          <w:szCs w:val="21"/>
        </w:rPr>
      </w:pPr>
      <w:r>
        <w:rPr>
          <w:rFonts w:ascii="宋体" w:hAnsi="宋体"/>
          <w:sz w:val="21"/>
          <w:szCs w:val="21"/>
        </w:rPr>
        <w:t>3.</w:t>
      </w:r>
      <w:r>
        <w:rPr>
          <w:rFonts w:hint="eastAsia" w:ascii="宋体" w:hAnsi="宋体"/>
          <w:sz w:val="21"/>
          <w:szCs w:val="21"/>
        </w:rPr>
        <w:t>《中小企业声明函》填写不全的，视为未提供《中小企业声明函》（从业人员、营业收入、资产总额在中小企业划型标准规定中不涉及的除外），</w:t>
      </w:r>
      <w:bookmarkStart w:id="50" w:name="_Hlk104288877"/>
      <w:r>
        <w:rPr>
          <w:rFonts w:hint="eastAsia" w:ascii="宋体" w:hAnsi="宋体"/>
          <w:sz w:val="21"/>
          <w:szCs w:val="22"/>
        </w:rPr>
        <w:t>不享受中小企业扶持政策。</w:t>
      </w:r>
      <w:bookmarkEnd w:id="50"/>
      <w:r>
        <w:rPr>
          <w:rFonts w:ascii="宋体" w:hAnsi="宋体" w:cs="宋体"/>
          <w:sz w:val="21"/>
          <w:szCs w:val="21"/>
        </w:rPr>
        <w:t>如项目包含“多件”标的物的，需按标的物项数逐项填写。</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sz w:val="21"/>
          <w:szCs w:val="21"/>
        </w:rPr>
      </w:pPr>
      <w:r>
        <w:rPr>
          <w:rFonts w:hint="eastAsia" w:ascii="宋体" w:hAnsi="宋体"/>
          <w:sz w:val="21"/>
          <w:szCs w:val="21"/>
        </w:rPr>
        <w:t>5.本项目只以《中小企业声明函》作为评判投标人是否属于中小企业的唯一依据。</w:t>
      </w:r>
    </w:p>
    <w:p>
      <w:pPr>
        <w:widowControl/>
        <w:adjustRightInd w:val="0"/>
        <w:snapToGrid w:val="0"/>
        <w:spacing w:line="288" w:lineRule="auto"/>
        <w:ind w:firstLine="495" w:firstLineChars="236"/>
        <w:jc w:val="left"/>
        <w:rPr>
          <w:rFonts w:ascii="宋体" w:hAnsi="宋体"/>
          <w:sz w:val="21"/>
          <w:szCs w:val="21"/>
        </w:rPr>
      </w:pPr>
      <w:r>
        <w:rPr>
          <w:rFonts w:ascii="宋体" w:hAnsi="宋体"/>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）属于监狱企业的证明文件（若属于监狱企业）</w:t>
      </w:r>
    </w:p>
    <w:p>
      <w:pPr>
        <w:adjustRightInd w:val="0"/>
        <w:snapToGrid w:val="0"/>
        <w:spacing w:line="288" w:lineRule="auto"/>
        <w:rPr>
          <w:rFonts w:ascii="宋体" w:hAnsi="宋体" w:cs="宋体"/>
          <w:color w:val="000000"/>
          <w:kern w:val="0"/>
          <w:sz w:val="21"/>
          <w:szCs w:val="21"/>
        </w:rPr>
      </w:pPr>
    </w:p>
    <w:p>
      <w:pPr>
        <w:adjustRightInd w:val="0"/>
        <w:snapToGrid w:val="0"/>
        <w:spacing w:line="288" w:lineRule="auto"/>
        <w:ind w:firstLine="373" w:firstLineChars="177"/>
        <w:rPr>
          <w:rFonts w:ascii="宋体" w:hAnsi="宋体"/>
          <w:b/>
          <w:bCs/>
          <w:sz w:val="21"/>
          <w:szCs w:val="21"/>
        </w:rPr>
      </w:pPr>
      <w:r>
        <w:rPr>
          <w:rFonts w:hint="eastAsia" w:ascii="宋体" w:hAnsi="宋体" w:cs="宋体"/>
          <w:b/>
          <w:bCs/>
          <w:color w:val="000000"/>
          <w:kern w:val="0"/>
          <w:sz w:val="21"/>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cs="宋体"/>
          <w:color w:val="000000"/>
          <w:kern w:val="0"/>
          <w:sz w:val="21"/>
          <w:szCs w:val="21"/>
        </w:rPr>
      </w:pPr>
      <w:r>
        <w:rPr>
          <w:rFonts w:hint="eastAsia" w:ascii="宋体" w:hAnsi="宋体" w:cs="宋体"/>
          <w:color w:val="000000"/>
          <w:kern w:val="0"/>
          <w:sz w:val="21"/>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cs="宋体"/>
          <w:b/>
          <w:spacing w:val="-6"/>
          <w:sz w:val="21"/>
          <w:szCs w:val="21"/>
        </w:rPr>
      </w:pPr>
      <w:r>
        <w:rPr>
          <w:rFonts w:ascii="宋体" w:hAnsi="宋体" w:cs="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）残疾人福利性单位声明函（若属于残疾人福利性单位）</w:t>
      </w:r>
    </w:p>
    <w:p>
      <w:pPr>
        <w:adjustRightInd w:val="0"/>
        <w:snapToGrid w:val="0"/>
        <w:spacing w:line="288" w:lineRule="auto"/>
        <w:rPr>
          <w:rFonts w:ascii="宋体" w:hAnsi="宋体"/>
          <w:b/>
          <w:spacing w:val="6"/>
          <w:sz w:val="21"/>
          <w:szCs w:val="21"/>
        </w:rPr>
      </w:pP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本单位郑重声明，根据《财政部 民政部 中国残疾人联合会关于促进残疾人就业政府采购政策的通知》（财库</w:t>
      </w:r>
      <w:r>
        <w:rPr>
          <w:rFonts w:hint="eastAsia" w:ascii="宋体" w:hAnsi="宋体"/>
          <w:sz w:val="21"/>
          <w:szCs w:val="21"/>
        </w:rPr>
        <w:t>〔2017〕 141</w:t>
      </w:r>
      <w:r>
        <w:rPr>
          <w:rFonts w:hint="eastAsia" w:ascii="宋体" w:hAnsi="宋体"/>
          <w:spacing w:val="6"/>
          <w:sz w:val="21"/>
          <w:szCs w:val="21"/>
        </w:rPr>
        <w:t>号）的规定，</w:t>
      </w:r>
      <w:r>
        <w:rPr>
          <w:rFonts w:hint="eastAsia" w:ascii="宋体" w:hAnsi="宋体"/>
          <w:b/>
          <w:bCs/>
          <w:spacing w:val="6"/>
          <w:sz w:val="21"/>
          <w:szCs w:val="21"/>
        </w:rPr>
        <w:t>本单位为符合条件的残疾人福利性单位</w:t>
      </w:r>
      <w:r>
        <w:rPr>
          <w:rFonts w:hint="eastAsia" w:ascii="宋体" w:hAnsi="宋体"/>
          <w:spacing w:val="6"/>
          <w:sz w:val="21"/>
          <w:szCs w:val="21"/>
        </w:rPr>
        <w:t>，且本单位参加</w:t>
      </w:r>
      <w:r>
        <w:rPr>
          <w:rFonts w:hint="eastAsia" w:ascii="宋体" w:hAnsi="宋体"/>
          <w:spacing w:val="6"/>
          <w:sz w:val="21"/>
          <w:szCs w:val="21"/>
          <w:u w:val="single"/>
        </w:rPr>
        <w:t>浙江大学</w:t>
      </w:r>
      <w:r>
        <w:rPr>
          <w:rFonts w:hint="eastAsia" w:ascii="宋体" w:hAnsi="宋体"/>
          <w:spacing w:val="6"/>
          <w:sz w:val="21"/>
          <w:szCs w:val="21"/>
        </w:rPr>
        <w:t>的</w:t>
      </w:r>
      <w:r>
        <w:rPr>
          <w:rFonts w:hint="eastAsia" w:ascii="宋体" w:hAnsi="宋体"/>
          <w:spacing w:val="6"/>
          <w:sz w:val="21"/>
          <w:szCs w:val="21"/>
          <w:u w:val="single"/>
        </w:rPr>
        <w:t>等保配套安全设备扩容建设</w:t>
      </w:r>
      <w:r>
        <w:rPr>
          <w:rFonts w:hint="eastAsia" w:ascii="宋体" w:hAnsi="宋体"/>
          <w:spacing w:val="6"/>
          <w:sz w:val="21"/>
          <w:szCs w:val="21"/>
        </w:rPr>
        <w:t>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spacing w:val="6"/>
          <w:sz w:val="21"/>
          <w:szCs w:val="21"/>
        </w:rPr>
      </w:pPr>
      <w:r>
        <w:rPr>
          <w:rFonts w:hint="eastAsia" w:ascii="宋体" w:hAnsi="宋体"/>
          <w:spacing w:val="6"/>
          <w:sz w:val="21"/>
          <w:szCs w:val="21"/>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单位名称（盖章）：</w:t>
      </w:r>
    </w:p>
    <w:p>
      <w:pPr>
        <w:tabs>
          <w:tab w:val="left" w:pos="4860"/>
        </w:tabs>
        <w:adjustRightInd w:val="0"/>
        <w:snapToGrid w:val="0"/>
        <w:spacing w:line="288" w:lineRule="auto"/>
        <w:ind w:right="1560" w:firstLine="444" w:firstLineChars="200"/>
        <w:rPr>
          <w:rFonts w:ascii="宋体" w:hAnsi="宋体"/>
          <w:spacing w:val="6"/>
          <w:sz w:val="21"/>
          <w:szCs w:val="21"/>
        </w:rPr>
      </w:pPr>
      <w:r>
        <w:rPr>
          <w:rFonts w:hint="eastAsia" w:ascii="宋体" w:hAnsi="宋体"/>
          <w:spacing w:val="6"/>
          <w:sz w:val="21"/>
          <w:szCs w:val="21"/>
        </w:rPr>
        <w:t>日  期：</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adjustRightInd w:val="0"/>
        <w:snapToGrid w:val="0"/>
        <w:spacing w:line="288" w:lineRule="auto"/>
        <w:jc w:val="left"/>
        <w:rPr>
          <w:rFonts w:ascii="宋体" w:hAnsi="宋体"/>
          <w:b/>
          <w:bCs/>
          <w:spacing w:val="-6"/>
          <w:sz w:val="21"/>
          <w:szCs w:val="21"/>
        </w:rPr>
      </w:pPr>
      <w:r>
        <w:rPr>
          <w:rFonts w:ascii="宋体" w:hAnsi="宋体"/>
          <w:b/>
          <w:bCs/>
          <w:spacing w:val="-6"/>
          <w:sz w:val="21"/>
          <w:szCs w:val="21"/>
        </w:rPr>
        <w:br w:type="page"/>
      </w:r>
    </w:p>
    <w:p>
      <w:pPr>
        <w:pStyle w:val="11"/>
        <w:adjustRightInd w:val="0"/>
        <w:snapToGrid w:val="0"/>
        <w:spacing w:line="288" w:lineRule="auto"/>
        <w:jc w:val="center"/>
        <w:rPr>
          <w:rFonts w:hAnsi="宋体"/>
          <w:b/>
          <w:bCs/>
          <w:spacing w:val="-6"/>
          <w:sz w:val="21"/>
          <w:szCs w:val="21"/>
        </w:rPr>
      </w:pPr>
      <w:r>
        <w:rPr>
          <w:rFonts w:hint="eastAsia" w:hAnsi="宋体"/>
          <w:b/>
          <w:bCs/>
          <w:spacing w:val="-6"/>
          <w:sz w:val="21"/>
          <w:szCs w:val="21"/>
        </w:rPr>
        <w:t>外层包装（封签）</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投 标 文 件</w:t>
      </w: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（资格文件、商务和技术文件）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项目名称：等保配套安全设备扩容建设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项目编号：QSZB-Z(H)-A22241(GK)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在  年  月  日  时  分之前不得启封</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spacing w:val="-6"/>
          <w:sz w:val="21"/>
          <w:szCs w:val="21"/>
        </w:rPr>
        <w:t>投标人代表签名</w:t>
      </w:r>
      <w:r>
        <w:rPr>
          <w:rFonts w:hint="eastAsia" w:ascii="宋体" w:hAnsi="宋体"/>
          <w:bCs/>
          <w:spacing w:val="-6"/>
          <w:sz w:val="21"/>
          <w:szCs w:val="21"/>
        </w:rPr>
        <w:t>：</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adjustRightInd w:val="0"/>
        <w:snapToGrid w:val="0"/>
        <w:spacing w:line="288" w:lineRule="auto"/>
        <w:rPr>
          <w:rFonts w:ascii="宋体" w:hAnsi="宋体"/>
          <w:spacing w:val="-6"/>
          <w:sz w:val="21"/>
          <w:szCs w:val="21"/>
        </w:rPr>
      </w:pPr>
      <w:r>
        <w:rPr>
          <w:rFonts w:ascii="宋体" w:hAnsi="宋体"/>
          <w:bCs/>
          <w:spacing w:val="-6"/>
          <w:sz w:val="21"/>
          <w:szCs w:val="21"/>
        </w:rPr>
        <w:br w:type="page"/>
      </w:r>
      <w:r>
        <w:rPr>
          <w:rFonts w:hint="eastAsia" w:ascii="宋体" w:hAnsi="宋体"/>
          <w:bCs/>
          <w:spacing w:val="-6"/>
          <w:sz w:val="21"/>
          <w:szCs w:val="21"/>
        </w:rPr>
        <w:t>资格文件、商务和技术文件</w:t>
      </w:r>
      <w:r>
        <w:rPr>
          <w:rFonts w:hint="eastAsia" w:ascii="宋体" w:hAnsi="宋体"/>
          <w:spacing w:val="-6"/>
          <w:sz w:val="21"/>
          <w:szCs w:val="21"/>
        </w:rPr>
        <w:t>封面</w:t>
      </w:r>
    </w:p>
    <w:p>
      <w:pPr>
        <w:adjustRightInd w:val="0"/>
        <w:snapToGrid w:val="0"/>
        <w:spacing w:line="288" w:lineRule="auto"/>
        <w:jc w:val="right"/>
        <w:rPr>
          <w:rFonts w:ascii="宋体" w:hAnsi="宋体"/>
          <w:spacing w:val="-6"/>
          <w:sz w:val="21"/>
          <w:szCs w:val="21"/>
        </w:rPr>
      </w:pPr>
      <w:r>
        <w:rPr>
          <w:rFonts w:hint="eastAsia" w:ascii="宋体" w:hAnsi="宋体"/>
          <w:b/>
          <w:bCs/>
          <w:spacing w:val="-6"/>
          <w:sz w:val="21"/>
          <w:szCs w:val="21"/>
        </w:rPr>
        <w:t>正本或副本</w:t>
      </w:r>
    </w:p>
    <w:p>
      <w:pPr>
        <w:adjustRightInd w:val="0"/>
        <w:snapToGrid w:val="0"/>
        <w:spacing w:line="288" w:lineRule="auto"/>
        <w:rPr>
          <w:rFonts w:ascii="宋体" w:hAnsi="宋体"/>
          <w:spacing w:val="-6"/>
          <w:sz w:val="21"/>
          <w:szCs w:val="21"/>
        </w:rPr>
      </w:pPr>
    </w:p>
    <w:p>
      <w:pPr>
        <w:adjustRightInd w:val="0"/>
        <w:snapToGrid w:val="0"/>
        <w:spacing w:line="288" w:lineRule="auto"/>
        <w:jc w:val="center"/>
        <w:rPr>
          <w:rFonts w:ascii="宋体" w:hAnsi="宋体"/>
          <w:bCs/>
          <w:spacing w:val="-6"/>
          <w:sz w:val="21"/>
          <w:szCs w:val="21"/>
        </w:rPr>
      </w:pPr>
      <w:r>
        <w:rPr>
          <w:rFonts w:hint="eastAsia" w:ascii="宋体" w:hAnsi="宋体"/>
          <w:bCs/>
          <w:spacing w:val="-6"/>
          <w:sz w:val="21"/>
          <w:szCs w:val="21"/>
        </w:rPr>
        <w:t>____________________（投标人名称）</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投标文件</w:t>
      </w:r>
    </w:p>
    <w:p>
      <w:pPr>
        <w:adjustRightInd w:val="0"/>
        <w:snapToGrid w:val="0"/>
        <w:spacing w:line="288" w:lineRule="auto"/>
        <w:jc w:val="center"/>
        <w:rPr>
          <w:rFonts w:ascii="宋体" w:hAnsi="宋体"/>
          <w:b/>
          <w:bCs/>
          <w:spacing w:val="-6"/>
          <w:sz w:val="21"/>
          <w:szCs w:val="21"/>
        </w:rPr>
      </w:pPr>
      <w:r>
        <w:rPr>
          <w:rFonts w:hint="eastAsia" w:ascii="宋体" w:hAnsi="宋体"/>
          <w:b/>
          <w:bCs/>
          <w:spacing w:val="-6"/>
          <w:sz w:val="21"/>
          <w:szCs w:val="21"/>
        </w:rPr>
        <w:t>资格文件、商务和技术文件</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项目名称：等保配套安全设备扩容建设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项目编号：QSZB-Z(H)-A22241(GK)</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投标人名称（盖章）：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投标人地址：</w:t>
      </w:r>
    </w:p>
    <w:p>
      <w:pPr>
        <w:adjustRightInd w:val="0"/>
        <w:snapToGrid w:val="0"/>
        <w:spacing w:line="288" w:lineRule="auto"/>
        <w:rPr>
          <w:rFonts w:ascii="宋体" w:hAnsi="宋体"/>
          <w:bCs/>
          <w:spacing w:val="-6"/>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投标人代表签名：</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日期：    年  月  日</w:t>
      </w:r>
    </w:p>
    <w:p>
      <w:pPr>
        <w:tabs>
          <w:tab w:val="center" w:pos="4706"/>
        </w:tabs>
        <w:adjustRightInd w:val="0"/>
        <w:snapToGrid w:val="0"/>
        <w:spacing w:line="288" w:lineRule="auto"/>
        <w:jc w:val="center"/>
        <w:rPr>
          <w:rFonts w:ascii="宋体" w:hAnsi="宋体"/>
          <w:bCs/>
          <w:spacing w:val="-6"/>
          <w:sz w:val="21"/>
          <w:szCs w:val="21"/>
        </w:rPr>
      </w:pPr>
      <w:r>
        <w:rPr>
          <w:rFonts w:ascii="宋体" w:hAnsi="宋体"/>
          <w:bCs/>
          <w:spacing w:val="-6"/>
          <w:sz w:val="21"/>
          <w:szCs w:val="21"/>
        </w:rPr>
        <w:br w:type="page"/>
      </w:r>
      <w:r>
        <w:rPr>
          <w:rFonts w:hint="eastAsia" w:ascii="宋体" w:hAnsi="宋体"/>
          <w:bCs/>
          <w:spacing w:val="-6"/>
          <w:sz w:val="21"/>
          <w:szCs w:val="21"/>
        </w:rPr>
        <w:t>评分索引表</w:t>
      </w:r>
    </w:p>
    <w:tbl>
      <w:tblPr>
        <w:tblStyle w:val="23"/>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465"/>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465" w:type="dxa"/>
            <w:vAlign w:val="center"/>
          </w:tcPr>
          <w:p>
            <w:pPr>
              <w:pStyle w:val="52"/>
              <w:adjustRightInd w:val="0"/>
              <w:snapToGrid w:val="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评分细则</w:t>
            </w:r>
          </w:p>
        </w:tc>
        <w:tc>
          <w:tcPr>
            <w:tcW w:w="967" w:type="dxa"/>
            <w:vAlign w:val="center"/>
          </w:tcPr>
          <w:p>
            <w:pPr>
              <w:pStyle w:val="52"/>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52"/>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52"/>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7" w:type="dxa"/>
            <w:gridSpan w:val="7"/>
            <w:vAlign w:val="center"/>
          </w:tcPr>
          <w:p>
            <w:pPr>
              <w:pStyle w:val="52"/>
              <w:adjustRightInd w:val="0"/>
              <w:snapToGrid w:val="0"/>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kern w:val="0"/>
                <w:sz w:val="21"/>
                <w:szCs w:val="21"/>
              </w:rPr>
            </w:pPr>
          </w:p>
        </w:tc>
        <w:tc>
          <w:tcPr>
            <w:tcW w:w="2091" w:type="dxa"/>
            <w:vAlign w:val="center"/>
          </w:tcPr>
          <w:p>
            <w:pPr>
              <w:adjustRightInd w:val="0"/>
              <w:snapToGrid w:val="0"/>
              <w:spacing w:line="288" w:lineRule="auto"/>
              <w:jc w:val="center"/>
              <w:rPr>
                <w:rFonts w:ascii="宋体" w:hAnsi="宋体"/>
                <w:kern w:val="0"/>
                <w:sz w:val="21"/>
                <w:szCs w:val="21"/>
              </w:rPr>
            </w:pPr>
          </w:p>
        </w:tc>
        <w:tc>
          <w:tcPr>
            <w:tcW w:w="709" w:type="dxa"/>
            <w:vAlign w:val="center"/>
          </w:tcPr>
          <w:p>
            <w:pPr>
              <w:adjustRightInd w:val="0"/>
              <w:snapToGrid w:val="0"/>
              <w:spacing w:line="288" w:lineRule="auto"/>
              <w:jc w:val="center"/>
              <w:rPr>
                <w:rFonts w:ascii="宋体" w:hAnsi="宋体"/>
                <w:kern w:val="0"/>
                <w:sz w:val="21"/>
                <w:szCs w:val="21"/>
              </w:rPr>
            </w:pPr>
          </w:p>
        </w:tc>
        <w:tc>
          <w:tcPr>
            <w:tcW w:w="3465" w:type="dxa"/>
            <w:vAlign w:val="center"/>
          </w:tcPr>
          <w:p>
            <w:pPr>
              <w:adjustRightInd w:val="0"/>
              <w:snapToGrid w:val="0"/>
              <w:spacing w:line="288" w:lineRule="auto"/>
              <w:rPr>
                <w:rFonts w:ascii="宋体" w:hAnsi="宋体"/>
                <w:kern w:val="0"/>
                <w:sz w:val="21"/>
                <w:szCs w:val="21"/>
              </w:rPr>
            </w:pPr>
          </w:p>
        </w:tc>
        <w:tc>
          <w:tcPr>
            <w:tcW w:w="967" w:type="dxa"/>
            <w:vAlign w:val="center"/>
          </w:tcPr>
          <w:p>
            <w:pPr>
              <w:adjustRightInd w:val="0"/>
              <w:snapToGrid w:val="0"/>
              <w:spacing w:line="288" w:lineRule="auto"/>
              <w:jc w:val="center"/>
              <w:rPr>
                <w:rFonts w:ascii="宋体" w:hAnsi="宋体"/>
                <w:sz w:val="21"/>
                <w:szCs w:val="21"/>
              </w:rPr>
            </w:pPr>
          </w:p>
        </w:tc>
        <w:tc>
          <w:tcPr>
            <w:tcW w:w="1053" w:type="dxa"/>
            <w:vAlign w:val="center"/>
          </w:tcPr>
          <w:p>
            <w:pPr>
              <w:adjustRightInd w:val="0"/>
              <w:snapToGrid w:val="0"/>
              <w:spacing w:line="288" w:lineRule="auto"/>
              <w:jc w:val="center"/>
              <w:rPr>
                <w:rFonts w:ascii="宋体" w:hAnsi="宋体"/>
                <w:sz w:val="21"/>
                <w:szCs w:val="21"/>
              </w:rPr>
            </w:pPr>
          </w:p>
        </w:tc>
        <w:tc>
          <w:tcPr>
            <w:tcW w:w="881" w:type="dxa"/>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7" w:type="dxa"/>
            <w:gridSpan w:val="7"/>
            <w:vAlign w:val="center"/>
          </w:tcPr>
          <w:p>
            <w:pPr>
              <w:pStyle w:val="11"/>
              <w:adjustRightInd w:val="0"/>
              <w:snapToGrid w:val="0"/>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spacing w:val="-6"/>
                <w:sz w:val="21"/>
                <w:szCs w:val="21"/>
              </w:rPr>
            </w:pPr>
          </w:p>
        </w:tc>
        <w:tc>
          <w:tcPr>
            <w:tcW w:w="2091" w:type="dxa"/>
            <w:vAlign w:val="center"/>
          </w:tcPr>
          <w:p>
            <w:pPr>
              <w:adjustRightInd w:val="0"/>
              <w:snapToGrid w:val="0"/>
              <w:spacing w:line="288" w:lineRule="auto"/>
              <w:jc w:val="center"/>
              <w:rPr>
                <w:rFonts w:ascii="宋体" w:hAnsi="宋体"/>
                <w:spacing w:val="-6"/>
                <w:sz w:val="21"/>
                <w:szCs w:val="21"/>
              </w:rPr>
            </w:pPr>
          </w:p>
        </w:tc>
        <w:tc>
          <w:tcPr>
            <w:tcW w:w="709" w:type="dxa"/>
            <w:vAlign w:val="center"/>
          </w:tcPr>
          <w:p>
            <w:pPr>
              <w:adjustRightInd w:val="0"/>
              <w:snapToGrid w:val="0"/>
              <w:spacing w:line="288" w:lineRule="auto"/>
              <w:jc w:val="center"/>
              <w:rPr>
                <w:rFonts w:ascii="宋体" w:hAnsi="宋体"/>
                <w:spacing w:val="-6"/>
                <w:sz w:val="21"/>
                <w:szCs w:val="21"/>
              </w:rPr>
            </w:pPr>
          </w:p>
        </w:tc>
        <w:tc>
          <w:tcPr>
            <w:tcW w:w="3465" w:type="dxa"/>
            <w:vAlign w:val="center"/>
          </w:tcPr>
          <w:p>
            <w:pPr>
              <w:adjustRightInd w:val="0"/>
              <w:snapToGrid w:val="0"/>
              <w:spacing w:line="288" w:lineRule="auto"/>
              <w:rPr>
                <w:rFonts w:ascii="宋体" w:hAnsi="宋体"/>
                <w:spacing w:val="-6"/>
                <w:sz w:val="21"/>
                <w:szCs w:val="21"/>
              </w:rPr>
            </w:pPr>
          </w:p>
        </w:tc>
        <w:tc>
          <w:tcPr>
            <w:tcW w:w="967" w:type="dxa"/>
            <w:vAlign w:val="center"/>
          </w:tcPr>
          <w:p>
            <w:pPr>
              <w:adjustRightInd w:val="0"/>
              <w:snapToGrid w:val="0"/>
              <w:spacing w:line="288" w:lineRule="auto"/>
              <w:jc w:val="center"/>
              <w:rPr>
                <w:rFonts w:ascii="宋体" w:hAnsi="宋体"/>
                <w:spacing w:val="-6"/>
                <w:sz w:val="21"/>
                <w:szCs w:val="21"/>
              </w:rPr>
            </w:pPr>
          </w:p>
        </w:tc>
        <w:tc>
          <w:tcPr>
            <w:tcW w:w="1053" w:type="dxa"/>
            <w:vAlign w:val="center"/>
          </w:tcPr>
          <w:p>
            <w:pPr>
              <w:adjustRightInd w:val="0"/>
              <w:snapToGrid w:val="0"/>
              <w:spacing w:line="288" w:lineRule="auto"/>
              <w:jc w:val="center"/>
              <w:rPr>
                <w:rFonts w:ascii="宋体" w:hAnsi="宋体"/>
                <w:spacing w:val="-6"/>
                <w:sz w:val="21"/>
                <w:szCs w:val="21"/>
              </w:rPr>
            </w:pPr>
          </w:p>
        </w:tc>
        <w:tc>
          <w:tcPr>
            <w:tcW w:w="881" w:type="dxa"/>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pPr>
        <w:pStyle w:val="11"/>
        <w:adjustRightInd w:val="0"/>
        <w:snapToGrid w:val="0"/>
        <w:spacing w:line="288" w:lineRule="auto"/>
        <w:ind w:firstLine="0"/>
        <w:jc w:val="center"/>
        <w:rPr>
          <w:rFonts w:hAnsi="宋体"/>
          <w:b/>
          <w:spacing w:val="-6"/>
          <w:sz w:val="21"/>
          <w:szCs w:val="21"/>
        </w:rPr>
      </w:pPr>
      <w:r>
        <w:rPr>
          <w:rFonts w:hAnsi="宋体"/>
          <w:b/>
          <w:spacing w:val="-6"/>
          <w:sz w:val="21"/>
          <w:szCs w:val="21"/>
        </w:rPr>
        <w:br w:type="page"/>
      </w:r>
    </w:p>
    <w:p>
      <w:pPr>
        <w:pStyle w:val="11"/>
        <w:adjustRightInd w:val="0"/>
        <w:snapToGrid w:val="0"/>
        <w:spacing w:line="288" w:lineRule="auto"/>
        <w:ind w:firstLine="0"/>
        <w:jc w:val="center"/>
        <w:outlineLvl w:val="1"/>
        <w:rPr>
          <w:rFonts w:hAnsi="宋体"/>
          <w:b/>
          <w:spacing w:val="-6"/>
          <w:sz w:val="32"/>
          <w:szCs w:val="32"/>
        </w:rPr>
      </w:pPr>
      <w:r>
        <w:rPr>
          <w:rFonts w:hint="eastAsia" w:hAnsi="宋体"/>
          <w:b/>
          <w:spacing w:val="-6"/>
          <w:sz w:val="32"/>
          <w:szCs w:val="32"/>
        </w:rPr>
        <w:t>资格文件</w:t>
      </w:r>
    </w:p>
    <w:p>
      <w:pPr>
        <w:adjustRightInd w:val="0"/>
        <w:snapToGrid w:val="0"/>
        <w:spacing w:line="288" w:lineRule="auto"/>
        <w:rPr>
          <w:rFonts w:ascii="宋体" w:hAnsi="宋体"/>
          <w:b/>
          <w:bCs/>
          <w:sz w:val="21"/>
          <w:szCs w:val="21"/>
        </w:rPr>
      </w:pP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资格审查要求的资格证明材料(均需加盖公章)</w:t>
      </w: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rPr>
          <w:rFonts w:ascii="宋体" w:hAnsi="宋体"/>
          <w:b/>
          <w:bCs/>
          <w:sz w:val="21"/>
          <w:szCs w:val="21"/>
        </w:rPr>
      </w:pP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（1）有效的法人或者其他组织的营业执照等证明文件（复印件），自然人的身份证明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8"/>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如投标人是企业（包括合伙企业），提供在工商部门注册的有效“企业法人营业执照”或“营业执照”；</w:t>
      </w:r>
    </w:p>
    <w:p>
      <w:pPr>
        <w:pStyle w:val="18"/>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如投标人是事业单位，提供有效的“事业单位法人证书”；</w:t>
      </w:r>
    </w:p>
    <w:p>
      <w:pPr>
        <w:pStyle w:val="18"/>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如投标人是非企业专业服务机构的，提供执业许可证等证明文件；</w:t>
      </w:r>
    </w:p>
    <w:p>
      <w:pPr>
        <w:pStyle w:val="18"/>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如投标人是个体工商户，提供有效的“个体工商户营业执照”；</w:t>
      </w:r>
    </w:p>
    <w:p>
      <w:pPr>
        <w:pStyle w:val="18"/>
        <w:adjustRightInd w:val="0"/>
        <w:snapToGrid w:val="0"/>
        <w:spacing w:line="288" w:lineRule="auto"/>
        <w:ind w:left="398" w:hanging="398"/>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如投标人是自然人，提供有效的自然人身份证明。</w:t>
      </w:r>
    </w:p>
    <w:p>
      <w:pPr>
        <w:widowControl/>
        <w:adjustRightInd w:val="0"/>
        <w:snapToGrid w:val="0"/>
        <w:spacing w:line="288" w:lineRule="auto"/>
        <w:jc w:val="left"/>
        <w:rPr>
          <w:rFonts w:ascii="宋体" w:hAnsi="宋体"/>
          <w:bCs/>
          <w:spacing w:val="-6"/>
          <w:sz w:val="21"/>
          <w:szCs w:val="21"/>
        </w:rPr>
      </w:pPr>
      <w:r>
        <w:rPr>
          <w:rFonts w:ascii="宋体" w:hAnsi="宋体"/>
          <w:bCs/>
          <w:spacing w:val="-6"/>
          <w:sz w:val="21"/>
          <w:szCs w:val="21"/>
        </w:rPr>
        <w:br w:type="page"/>
      </w:r>
    </w:p>
    <w:p>
      <w:pPr>
        <w:adjustRightInd w:val="0"/>
        <w:snapToGrid w:val="0"/>
        <w:spacing w:line="288" w:lineRule="auto"/>
        <w:jc w:val="center"/>
        <w:outlineLvl w:val="1"/>
        <w:rPr>
          <w:rFonts w:ascii="宋体" w:hAnsi="宋体"/>
          <w:spacing w:val="-6"/>
          <w:sz w:val="21"/>
          <w:szCs w:val="21"/>
        </w:rPr>
      </w:pPr>
      <w:r>
        <w:rPr>
          <w:rFonts w:hint="eastAsia" w:ascii="宋体" w:hAnsi="宋体"/>
          <w:b/>
          <w:spacing w:val="-6"/>
          <w:sz w:val="21"/>
          <w:szCs w:val="21"/>
        </w:rPr>
        <w:t>（2）2021年12月（含）以后任意一月的财务状况报告（复印件）或开标前三个月内出具的银行资信证明（若资信证明中注明复印无效，需提交正本）</w:t>
      </w: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1.投标人是法人的，应提供财务状况报告，包括资产负债表、利润表或其基本开户银行出具的资信证明</w:t>
      </w:r>
      <w:r>
        <w:rPr>
          <w:rFonts w:hint="eastAsia" w:ascii="宋体" w:hAnsi="宋体"/>
          <w:b/>
          <w:spacing w:val="-6"/>
          <w:sz w:val="21"/>
          <w:szCs w:val="21"/>
        </w:rPr>
        <w:t>（若资信证明中注明复印无效，需提交正本）</w:t>
      </w:r>
      <w:r>
        <w:rPr>
          <w:rFonts w:hint="eastAsia" w:ascii="宋体" w:hAnsi="宋体"/>
          <w:bCs/>
          <w:spacing w:val="-6"/>
          <w:sz w:val="21"/>
          <w:szCs w:val="21"/>
        </w:rPr>
        <w:t>，并加盖公章；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2.部分其他组织和自然人没有财务状况报告的，可以提供银行出具的资信证明</w:t>
      </w:r>
      <w:r>
        <w:rPr>
          <w:rFonts w:hint="eastAsia" w:ascii="宋体" w:hAnsi="宋体"/>
          <w:b/>
          <w:spacing w:val="-6"/>
          <w:sz w:val="21"/>
          <w:szCs w:val="21"/>
        </w:rPr>
        <w:t>（若资信证明中注明复印无效，需提交正本）</w:t>
      </w:r>
      <w:r>
        <w:rPr>
          <w:rFonts w:hint="eastAsia" w:ascii="宋体" w:hAnsi="宋体"/>
          <w:bCs/>
          <w:spacing w:val="-6"/>
          <w:sz w:val="21"/>
          <w:szCs w:val="21"/>
        </w:rPr>
        <w:t>，并加盖公章；</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3.银行资信证明应能说明投标人与银行之间业务往来正常，企业信誉良好等，</w:t>
      </w:r>
      <w:r>
        <w:rPr>
          <w:rFonts w:hint="eastAsia" w:ascii="宋体" w:hAnsi="宋体"/>
          <w:b/>
          <w:spacing w:val="-6"/>
          <w:sz w:val="21"/>
          <w:szCs w:val="21"/>
        </w:rPr>
        <w:t>银行出具的存款证明不能替代银行资信证明</w:t>
      </w:r>
      <w:r>
        <w:rPr>
          <w:rFonts w:hint="eastAsia" w:ascii="宋体" w:hAnsi="宋体"/>
          <w:bCs/>
          <w:spacing w:val="-6"/>
          <w:sz w:val="21"/>
          <w:szCs w:val="21"/>
        </w:rPr>
        <w:t>。</w:t>
      </w:r>
    </w:p>
    <w:p>
      <w:pPr>
        <w:adjustRightInd w:val="0"/>
        <w:snapToGrid w:val="0"/>
        <w:spacing w:line="288" w:lineRule="auto"/>
        <w:jc w:val="center"/>
        <w:rPr>
          <w:rFonts w:ascii="宋体" w:hAnsi="宋体"/>
          <w:bCs/>
          <w:spacing w:val="-6"/>
          <w:sz w:val="21"/>
          <w:szCs w:val="21"/>
        </w:rPr>
      </w:pPr>
    </w:p>
    <w:p>
      <w:pPr>
        <w:adjustRightInd w:val="0"/>
        <w:snapToGrid w:val="0"/>
        <w:spacing w:line="288" w:lineRule="auto"/>
        <w:jc w:val="center"/>
        <w:rPr>
          <w:rFonts w:ascii="宋体" w:hAnsi="宋体"/>
          <w:sz w:val="21"/>
          <w:szCs w:val="21"/>
        </w:rPr>
      </w:pPr>
      <w:r>
        <w:rPr>
          <w:rFonts w:ascii="宋体" w:hAnsi="宋体"/>
          <w:bCs/>
          <w:spacing w:val="-6"/>
          <w:sz w:val="21"/>
          <w:szCs w:val="21"/>
        </w:rPr>
        <w:br w:type="page"/>
      </w:r>
      <w:r>
        <w:rPr>
          <w:rFonts w:hint="eastAsia" w:ascii="宋体" w:hAnsi="宋体"/>
          <w:sz w:val="21"/>
          <w:szCs w:val="21"/>
        </w:rPr>
        <w:t>资信证明</w:t>
      </w:r>
    </w:p>
    <w:p>
      <w:pPr>
        <w:adjustRightInd w:val="0"/>
        <w:snapToGrid w:val="0"/>
        <w:spacing w:line="288" w:lineRule="auto"/>
        <w:jc w:val="center"/>
        <w:rPr>
          <w:rFonts w:ascii="宋体" w:hAnsi="宋体"/>
          <w:sz w:val="21"/>
          <w:szCs w:val="21"/>
        </w:rPr>
      </w:pPr>
    </w:p>
    <w:p>
      <w:pPr>
        <w:adjustRightInd w:val="0"/>
        <w:snapToGrid w:val="0"/>
        <w:spacing w:line="288" w:lineRule="auto"/>
        <w:rPr>
          <w:rFonts w:ascii="宋体" w:hAnsi="宋体"/>
          <w:sz w:val="21"/>
          <w:szCs w:val="21"/>
        </w:rPr>
      </w:pPr>
      <w:r>
        <w:rPr>
          <w:rFonts w:hint="eastAsia" w:ascii="宋体" w:hAnsi="宋体"/>
          <w:sz w:val="21"/>
          <w:szCs w:val="21"/>
        </w:rPr>
        <w:t>_____________：</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兹证明，_____________（单位名称）在我行辖属网点_____________支行开立基本账户，账号：_____________。根据_____________（单位名称）委托，我行对_____________（单位名称）在我行的结算记录开立本证明书，供_____________（单位名称）参加_____________项目招标采购时使用。经确认，具体情况如下：</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自___年___月___日至___年___月___日（即该日我行营业终了结账时）止，_____________（单位名称）无违反我行结算制度规定的行为。</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仅此证明，下无正文。</w:t>
      </w:r>
    </w:p>
    <w:p>
      <w:pPr>
        <w:adjustRightInd w:val="0"/>
        <w:snapToGrid w:val="0"/>
        <w:spacing w:line="288" w:lineRule="auto"/>
        <w:ind w:firstLine="420" w:firstLineChars="200"/>
        <w:rPr>
          <w:rFonts w:ascii="宋体" w:hAnsi="宋体"/>
          <w:sz w:val="21"/>
          <w:szCs w:val="21"/>
        </w:rPr>
      </w:pPr>
    </w:p>
    <w:p>
      <w:pPr>
        <w:adjustRightInd w:val="0"/>
        <w:snapToGrid w:val="0"/>
        <w:spacing w:line="288" w:lineRule="auto"/>
        <w:ind w:firstLine="420" w:firstLineChars="200"/>
        <w:rPr>
          <w:rFonts w:ascii="宋体" w:hAnsi="宋体"/>
          <w:sz w:val="21"/>
          <w:szCs w:val="21"/>
        </w:rPr>
      </w:pPr>
    </w:p>
    <w:p>
      <w:pPr>
        <w:adjustRightInd w:val="0"/>
        <w:snapToGrid w:val="0"/>
        <w:spacing w:line="288" w:lineRule="auto"/>
        <w:ind w:firstLine="420" w:firstLineChars="200"/>
        <w:jc w:val="right"/>
        <w:rPr>
          <w:rFonts w:ascii="宋体" w:hAnsi="宋体"/>
          <w:sz w:val="21"/>
          <w:szCs w:val="21"/>
        </w:rPr>
      </w:pPr>
      <w:r>
        <w:rPr>
          <w:rFonts w:hint="eastAsia" w:ascii="宋体" w:hAnsi="宋体"/>
          <w:sz w:val="21"/>
          <w:szCs w:val="21"/>
        </w:rPr>
        <w:t>_________（银行）</w:t>
      </w:r>
    </w:p>
    <w:p>
      <w:pPr>
        <w:adjustRightInd w:val="0"/>
        <w:snapToGrid w:val="0"/>
        <w:spacing w:line="288" w:lineRule="auto"/>
        <w:ind w:firstLine="420" w:firstLineChars="200"/>
        <w:jc w:val="right"/>
        <w:rPr>
          <w:rFonts w:ascii="宋体" w:hAnsi="宋体"/>
          <w:sz w:val="21"/>
          <w:szCs w:val="21"/>
        </w:rPr>
      </w:pPr>
      <w:r>
        <w:rPr>
          <w:rFonts w:hint="eastAsia" w:ascii="宋体" w:hAnsi="宋体"/>
          <w:sz w:val="21"/>
          <w:szCs w:val="21"/>
        </w:rPr>
        <w:t>___年___月___日</w:t>
      </w:r>
    </w:p>
    <w:p>
      <w:pPr>
        <w:adjustRightInd w:val="0"/>
        <w:snapToGrid w:val="0"/>
        <w:spacing w:line="288" w:lineRule="auto"/>
        <w:ind w:firstLine="420" w:firstLineChars="200"/>
        <w:jc w:val="right"/>
        <w:rPr>
          <w:rFonts w:ascii="宋体" w:hAnsi="宋体"/>
          <w:sz w:val="21"/>
          <w:szCs w:val="21"/>
        </w:rPr>
      </w:pPr>
    </w:p>
    <w:p>
      <w:pPr>
        <w:adjustRightInd w:val="0"/>
        <w:snapToGrid w:val="0"/>
        <w:spacing w:line="288" w:lineRule="auto"/>
        <w:ind w:firstLine="420" w:firstLineChars="200"/>
        <w:jc w:val="right"/>
        <w:rPr>
          <w:rFonts w:ascii="宋体" w:hAnsi="宋体"/>
          <w:sz w:val="21"/>
          <w:szCs w:val="21"/>
        </w:rPr>
      </w:pPr>
    </w:p>
    <w:p>
      <w:pPr>
        <w:adjustRightInd w:val="0"/>
        <w:snapToGrid w:val="0"/>
        <w:spacing w:line="288" w:lineRule="auto"/>
        <w:ind w:firstLine="420" w:firstLineChars="200"/>
        <w:jc w:val="right"/>
        <w:rPr>
          <w:rFonts w:ascii="宋体" w:hAnsi="宋体"/>
          <w:sz w:val="21"/>
          <w:szCs w:val="21"/>
        </w:rPr>
      </w:pP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说明：</w:t>
      </w:r>
    </w:p>
    <w:p>
      <w:pPr>
        <w:adjustRightInd w:val="0"/>
        <w:snapToGrid w:val="0"/>
        <w:spacing w:line="288" w:lineRule="auto"/>
        <w:ind w:firstLine="495" w:firstLineChars="250"/>
        <w:rPr>
          <w:rFonts w:ascii="宋体" w:hAnsi="宋体"/>
          <w:bCs/>
          <w:spacing w:val="-6"/>
          <w:sz w:val="21"/>
          <w:szCs w:val="21"/>
        </w:rPr>
      </w:pPr>
      <w:r>
        <w:rPr>
          <w:rFonts w:hint="eastAsia" w:ascii="宋体" w:hAnsi="宋体"/>
          <w:bCs/>
          <w:spacing w:val="-6"/>
          <w:sz w:val="21"/>
          <w:szCs w:val="21"/>
        </w:rPr>
        <w:t>本“资信证明”内容与格式</w:t>
      </w:r>
      <w:r>
        <w:rPr>
          <w:rFonts w:hint="eastAsia" w:ascii="宋体" w:hAnsi="宋体"/>
          <w:b/>
          <w:bCs/>
          <w:spacing w:val="-6"/>
          <w:sz w:val="21"/>
          <w:szCs w:val="21"/>
        </w:rPr>
        <w:t>仅供参考</w:t>
      </w:r>
      <w:r>
        <w:rPr>
          <w:rFonts w:hint="eastAsia" w:ascii="宋体" w:hAnsi="宋体"/>
          <w:bCs/>
          <w:spacing w:val="-6"/>
          <w:sz w:val="21"/>
          <w:szCs w:val="21"/>
        </w:rPr>
        <w:t>，各银行可根据自身制度进行</w:t>
      </w:r>
      <w:r>
        <w:rPr>
          <w:rFonts w:hint="eastAsia" w:ascii="宋体" w:hAnsi="宋体"/>
          <w:b/>
          <w:bCs/>
          <w:spacing w:val="-6"/>
          <w:sz w:val="21"/>
          <w:szCs w:val="21"/>
        </w:rPr>
        <w:t>修改</w:t>
      </w:r>
      <w:r>
        <w:rPr>
          <w:rFonts w:hint="eastAsia" w:ascii="宋体" w:hAnsi="宋体"/>
          <w:bCs/>
          <w:spacing w:val="-6"/>
          <w:sz w:val="21"/>
          <w:szCs w:val="21"/>
        </w:rPr>
        <w:t>，但应满足本招标文件中对“资信证明”的要求。</w:t>
      </w:r>
    </w:p>
    <w:p>
      <w:pPr>
        <w:adjustRightInd w:val="0"/>
        <w:snapToGrid w:val="0"/>
        <w:spacing w:line="288" w:lineRule="auto"/>
        <w:jc w:val="center"/>
        <w:outlineLvl w:val="1"/>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（3）2021年12月（含）以后任意一月依法缴纳税收的证明材料</w:t>
      </w:r>
    </w:p>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（依法免税的投标人，应提供相应文件证明其依法免税）</w:t>
      </w: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ind w:left="398" w:hanging="398" w:hangingChars="200"/>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依法缴纳税收的证明材料指依法缴纳税收的凭据（完税证明或</w:t>
      </w:r>
      <w:r>
        <w:rPr>
          <w:rFonts w:ascii="宋体" w:hAnsi="宋体"/>
          <w:b/>
          <w:spacing w:val="-6"/>
          <w:sz w:val="21"/>
          <w:szCs w:val="21"/>
        </w:rPr>
        <w:t>纳税证明</w:t>
      </w:r>
      <w:r>
        <w:rPr>
          <w:rFonts w:hint="eastAsia" w:ascii="宋体" w:hAnsi="宋体"/>
          <w:b/>
          <w:spacing w:val="-6"/>
          <w:sz w:val="21"/>
          <w:szCs w:val="21"/>
        </w:rPr>
        <w:t>或银行电子缴税付款凭证等）；</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依法免税的投标人，应提供相应文件证明其依法免税；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投标人因新注册成立等原因无法提供相关材料的，应在投标文件中提交如实的情况说明。</w:t>
      </w:r>
    </w:p>
    <w:p>
      <w:pPr>
        <w:adjustRightInd w:val="0"/>
        <w:snapToGrid w:val="0"/>
        <w:spacing w:line="288" w:lineRule="auto"/>
        <w:jc w:val="center"/>
        <w:outlineLvl w:val="1"/>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（4）2021年12月（含）以后任意一月依法缴纳社会保障资金的证明材料</w:t>
      </w:r>
    </w:p>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（依法不需要缴纳社会保障资金的投标人，应提供相应文件证明其依法不需要缴纳社会保障资金）</w:t>
      </w: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jc w:val="center"/>
        <w:rPr>
          <w:rFonts w:ascii="宋体" w:hAnsi="宋体"/>
          <w:spacing w:val="-6"/>
          <w:sz w:val="21"/>
          <w:szCs w:val="21"/>
        </w:rPr>
      </w:pPr>
    </w:p>
    <w:p>
      <w:pPr>
        <w:adjustRightInd w:val="0"/>
        <w:snapToGrid w:val="0"/>
        <w:spacing w:line="288" w:lineRule="auto"/>
        <w:ind w:left="398" w:hanging="398" w:hangingChars="200"/>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依法缴纳社会保障资金的证明材料指依法缴纳社会保险的凭据（社保缴费专用收据或银行电子缴税付款凭证或社会保险缴纳清单等）；</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依法不需要缴纳社会保障资金的投标人，应提供相应文件证明其依法不需要缴纳社会保障资金；</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投标人因新注册成立等原因无法提供相关材料的，应在投标文件中提交如实的情况说明。</w:t>
      </w:r>
    </w:p>
    <w:p>
      <w:pPr>
        <w:adjustRightInd w:val="0"/>
        <w:snapToGrid w:val="0"/>
        <w:spacing w:line="288" w:lineRule="auto"/>
        <w:jc w:val="center"/>
        <w:outlineLvl w:val="1"/>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（5）具有履行合同所必需的设备和专业技术能力的承诺函</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（内容</w:t>
      </w:r>
      <w:r>
        <w:rPr>
          <w:rFonts w:ascii="宋体" w:hAnsi="宋体"/>
          <w:b/>
          <w:spacing w:val="-6"/>
          <w:sz w:val="21"/>
          <w:szCs w:val="21"/>
        </w:rPr>
        <w:t>自拟）</w:t>
      </w:r>
    </w:p>
    <w:p>
      <w:pPr>
        <w:adjustRightInd w:val="0"/>
        <w:snapToGrid w:val="0"/>
        <w:spacing w:line="288" w:lineRule="auto"/>
        <w:jc w:val="center"/>
        <w:rPr>
          <w:rFonts w:ascii="宋体" w:hAnsi="宋体"/>
          <w:b/>
          <w:spacing w:val="-6"/>
          <w:sz w:val="21"/>
          <w:szCs w:val="21"/>
        </w:rPr>
      </w:pPr>
    </w:p>
    <w:p>
      <w:pPr>
        <w:adjustRightInd w:val="0"/>
        <w:snapToGrid w:val="0"/>
        <w:spacing w:line="288" w:lineRule="auto"/>
        <w:jc w:val="center"/>
        <w:rPr>
          <w:rFonts w:ascii="宋体" w:hAnsi="宋体"/>
          <w:b/>
          <w:spacing w:val="-6"/>
          <w:sz w:val="21"/>
          <w:szCs w:val="21"/>
        </w:rPr>
      </w:pPr>
    </w:p>
    <w:p>
      <w:pPr>
        <w:adjustRightInd w:val="0"/>
        <w:snapToGrid w:val="0"/>
        <w:spacing w:line="288" w:lineRule="auto"/>
        <w:jc w:val="center"/>
        <w:rPr>
          <w:rFonts w:ascii="宋体" w:hAnsi="宋体"/>
          <w:b/>
          <w:spacing w:val="-6"/>
          <w:sz w:val="21"/>
          <w:szCs w:val="21"/>
        </w:rPr>
      </w:pPr>
    </w:p>
    <w:p>
      <w:pPr>
        <w:adjustRightInd w:val="0"/>
        <w:snapToGrid w:val="0"/>
        <w:spacing w:line="288" w:lineRule="auto"/>
        <w:jc w:val="center"/>
        <w:rPr>
          <w:rFonts w:ascii="宋体" w:hAnsi="宋体"/>
          <w:b/>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投标人代表签字：</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jc w:val="center"/>
        <w:outlineLvl w:val="1"/>
        <w:rPr>
          <w:rFonts w:ascii="宋体" w:hAnsi="宋体"/>
          <w:b/>
          <w:spacing w:val="-6"/>
          <w:sz w:val="21"/>
          <w:szCs w:val="21"/>
        </w:rPr>
      </w:pPr>
      <w:r>
        <w:rPr>
          <w:rFonts w:ascii="宋体" w:hAnsi="宋体"/>
          <w:bCs/>
          <w:spacing w:val="-6"/>
          <w:sz w:val="21"/>
          <w:szCs w:val="21"/>
        </w:rPr>
        <w:br w:type="page"/>
      </w:r>
      <w:r>
        <w:rPr>
          <w:rFonts w:hint="eastAsia" w:ascii="宋体" w:hAnsi="宋体"/>
          <w:b/>
          <w:spacing w:val="-6"/>
          <w:sz w:val="21"/>
          <w:szCs w:val="21"/>
        </w:rPr>
        <w:t>（6）参加政府采购活动前3年内在经营活动中没有重大违法记录的书面声明</w:t>
      </w:r>
    </w:p>
    <w:p>
      <w:pPr>
        <w:adjustRightInd w:val="0"/>
        <w:snapToGrid w:val="0"/>
        <w:spacing w:line="288" w:lineRule="auto"/>
        <w:ind w:left="147" w:hanging="147" w:hangingChars="74"/>
        <w:jc w:val="center"/>
        <w:rPr>
          <w:rFonts w:ascii="宋体" w:hAnsi="宋体"/>
          <w:b/>
          <w:spacing w:val="-6"/>
          <w:sz w:val="21"/>
          <w:szCs w:val="21"/>
        </w:rPr>
      </w:pPr>
    </w:p>
    <w:p>
      <w:pPr>
        <w:adjustRightInd w:val="0"/>
        <w:snapToGrid w:val="0"/>
        <w:spacing w:line="288" w:lineRule="auto"/>
        <w:ind w:left="147" w:hanging="147" w:hangingChars="74"/>
        <w:jc w:val="center"/>
        <w:rPr>
          <w:rFonts w:ascii="宋体" w:hAnsi="宋体"/>
          <w:b/>
          <w:spacing w:val="-6"/>
          <w:sz w:val="21"/>
          <w:szCs w:val="21"/>
        </w:rPr>
      </w:pPr>
      <w:r>
        <w:rPr>
          <w:rFonts w:hint="eastAsia" w:ascii="宋体" w:hAnsi="宋体"/>
          <w:b/>
          <w:spacing w:val="-6"/>
          <w:sz w:val="21"/>
          <w:szCs w:val="21"/>
        </w:rPr>
        <w:t>声明函</w:t>
      </w:r>
    </w:p>
    <w:p>
      <w:pPr>
        <w:adjustRightInd w:val="0"/>
        <w:snapToGrid w:val="0"/>
        <w:spacing w:line="288" w:lineRule="auto"/>
        <w:rPr>
          <w:rFonts w:ascii="宋体" w:hAnsi="宋体"/>
          <w:spacing w:val="-6"/>
          <w:sz w:val="21"/>
          <w:szCs w:val="21"/>
        </w:rPr>
      </w:pPr>
      <w:r>
        <w:rPr>
          <w:rFonts w:hint="eastAsia" w:ascii="宋体" w:hAnsi="宋体"/>
          <w:spacing w:val="-6"/>
          <w:sz w:val="21"/>
          <w:szCs w:val="21"/>
        </w:rPr>
        <w:t>致：浙江大学、浙江求是招标代理有限公司：</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我公司郑重承诺在参加本项目政府采购活动前三年内，在经营活动中</w:t>
      </w:r>
      <w:r>
        <w:rPr>
          <w:rFonts w:hint="eastAsia" w:ascii="宋体" w:hAnsi="宋体"/>
          <w:b/>
          <w:spacing w:val="-6"/>
          <w:sz w:val="21"/>
          <w:szCs w:val="21"/>
        </w:rPr>
        <w:t>____（填写“有”或“没有”，如实填写，如不填写视同未提供本声明函）</w:t>
      </w:r>
      <w:r>
        <w:rPr>
          <w:rFonts w:hint="eastAsia" w:ascii="宋体" w:hAnsi="宋体"/>
          <w:spacing w:val="-6"/>
          <w:sz w:val="21"/>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以上事项如有虚假或隐瞒，我方愿意承担一切后果和责任。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特此声明。</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投标人代表签字：</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pStyle w:val="18"/>
        <w:adjustRightInd w:val="0"/>
        <w:snapToGrid w:val="0"/>
        <w:spacing w:line="288" w:lineRule="auto"/>
        <w:ind w:left="0" w:firstLine="0" w:firstLineChars="0"/>
        <w:jc w:val="center"/>
        <w:outlineLvl w:val="1"/>
        <w:rPr>
          <w:rFonts w:ascii="宋体" w:hAnsi="宋体"/>
          <w:bCs/>
          <w:spacing w:val="-6"/>
          <w:sz w:val="21"/>
          <w:szCs w:val="21"/>
        </w:rPr>
      </w:pPr>
      <w:r>
        <w:rPr>
          <w:rFonts w:ascii="宋体" w:hAnsi="宋体"/>
          <w:b/>
          <w:spacing w:val="-6"/>
          <w:sz w:val="21"/>
          <w:szCs w:val="21"/>
        </w:rPr>
        <w:br w:type="page"/>
      </w:r>
      <w:r>
        <w:rPr>
          <w:rFonts w:hint="eastAsia" w:ascii="宋体" w:hAnsi="宋体"/>
          <w:b/>
          <w:spacing w:val="-6"/>
          <w:sz w:val="21"/>
          <w:szCs w:val="21"/>
        </w:rPr>
        <w:t>商务和技术文件</w:t>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（1）投标函</w:t>
      </w:r>
    </w:p>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致：浙江大学、浙江求是招标代理有限公司</w:t>
      </w:r>
    </w:p>
    <w:p>
      <w:pPr>
        <w:adjustRightInd w:val="0"/>
        <w:snapToGrid w:val="0"/>
        <w:spacing w:line="288" w:lineRule="auto"/>
        <w:ind w:firstLine="396" w:firstLineChars="200"/>
        <w:rPr>
          <w:rFonts w:ascii="宋体" w:hAnsi="宋体"/>
          <w:spacing w:val="-6"/>
          <w:sz w:val="21"/>
          <w:szCs w:val="21"/>
          <w:highlight w:val="cyan"/>
        </w:rPr>
      </w:pP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我方参加</w:t>
      </w:r>
      <w:r>
        <w:rPr>
          <w:rFonts w:hint="eastAsia" w:ascii="宋体" w:hAnsi="宋体"/>
          <w:bCs/>
          <w:spacing w:val="-6"/>
          <w:sz w:val="21"/>
          <w:szCs w:val="21"/>
          <w:u w:val="single"/>
        </w:rPr>
        <w:t>浙江大学等保配套安全设备扩容建设</w:t>
      </w:r>
      <w:r>
        <w:rPr>
          <w:rFonts w:hint="eastAsia" w:ascii="宋体" w:hAnsi="宋体"/>
          <w:spacing w:val="-6"/>
          <w:sz w:val="21"/>
          <w:szCs w:val="21"/>
          <w:u w:val="single"/>
        </w:rPr>
        <w:t>（项目编号</w:t>
      </w:r>
      <w:r>
        <w:rPr>
          <w:rFonts w:hint="eastAsia" w:ascii="宋体" w:hAnsi="宋体"/>
          <w:bCs/>
          <w:spacing w:val="-6"/>
          <w:sz w:val="21"/>
          <w:szCs w:val="21"/>
          <w:u w:val="single"/>
        </w:rPr>
        <w:t>：QSZB-Z(H)-A22241(GK)</w:t>
      </w:r>
      <w:r>
        <w:rPr>
          <w:rFonts w:hint="eastAsia" w:ascii="宋体" w:hAnsi="宋体"/>
          <w:spacing w:val="-6"/>
          <w:sz w:val="21"/>
          <w:szCs w:val="21"/>
          <w:u w:val="single"/>
        </w:rPr>
        <w:t>）</w:t>
      </w:r>
      <w:r>
        <w:rPr>
          <w:rFonts w:hint="eastAsia" w:ascii="宋体" w:hAnsi="宋体"/>
          <w:spacing w:val="-6"/>
          <w:sz w:val="21"/>
          <w:szCs w:val="21"/>
        </w:rPr>
        <w:t>项目，为此，我方提交投标文件（报价文件、资格文件、商务和技术文件）正本一份、副本___份。签名代表宣布同意如下：</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投标有效期自提交投标文件的截止之日起</w:t>
      </w:r>
      <w:r>
        <w:rPr>
          <w:rFonts w:hint="eastAsia" w:ascii="宋体" w:hAnsi="宋体"/>
          <w:bCs/>
          <w:spacing w:val="-6"/>
          <w:sz w:val="21"/>
          <w:szCs w:val="21"/>
          <w:u w:val="single"/>
        </w:rPr>
        <w:t xml:space="preserve"> 90</w:t>
      </w:r>
      <w:r>
        <w:rPr>
          <w:rFonts w:ascii="宋体" w:hAnsi="宋体"/>
          <w:bCs/>
          <w:spacing w:val="-6"/>
          <w:sz w:val="21"/>
          <w:szCs w:val="21"/>
          <w:u w:val="single"/>
        </w:rPr>
        <w:t xml:space="preserve"> </w:t>
      </w:r>
      <w:r>
        <w:rPr>
          <w:rFonts w:hint="eastAsia" w:ascii="宋体" w:hAnsi="宋体"/>
          <w:spacing w:val="-6"/>
          <w:sz w:val="21"/>
          <w:szCs w:val="21"/>
        </w:rPr>
        <w:t>天。</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我方同意按照贵方要求提供与投标有关的一切数据或资料。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联系人：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职务：</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手机：</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电子邮箱：</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c>
          <w:tcPr>
            <w:tcW w:w="6808" w:type="dxa"/>
          </w:tcPr>
          <w:p>
            <w:pPr>
              <w:adjustRightInd w:val="0"/>
              <w:snapToGrid w:val="0"/>
              <w:spacing w:line="288" w:lineRule="auto"/>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spacing w:val="-6"/>
                <w:sz w:val="21"/>
                <w:szCs w:val="21"/>
              </w:rPr>
            </w:pPr>
            <w:r>
              <w:rPr>
                <w:rFonts w:hint="eastAsia" w:ascii="宋体" w:hAnsi="宋体"/>
                <w:spacing w:val="-6"/>
                <w:sz w:val="21"/>
                <w:szCs w:val="21"/>
              </w:rPr>
              <w:t>银行账号：</w:t>
            </w:r>
          </w:p>
        </w:tc>
        <w:tc>
          <w:tcPr>
            <w:tcW w:w="6808" w:type="dxa"/>
          </w:tcPr>
          <w:p>
            <w:pPr>
              <w:adjustRightInd w:val="0"/>
              <w:snapToGrid w:val="0"/>
              <w:spacing w:line="288" w:lineRule="auto"/>
              <w:rPr>
                <w:rFonts w:ascii="宋体" w:hAnsi="宋体"/>
                <w:spacing w:val="-6"/>
                <w:sz w:val="21"/>
                <w:szCs w:val="21"/>
              </w:rPr>
            </w:pPr>
          </w:p>
        </w:tc>
      </w:tr>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投标人代表签名：</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p>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）法定代表人授权委托书</w:t>
      </w:r>
    </w:p>
    <w:p>
      <w:pPr>
        <w:adjustRightInd w:val="0"/>
        <w:snapToGrid w:val="0"/>
        <w:spacing w:line="288" w:lineRule="auto"/>
        <w:jc w:val="center"/>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Cs/>
          <w:spacing w:val="-6"/>
          <w:sz w:val="21"/>
          <w:szCs w:val="21"/>
        </w:rPr>
        <w:t>致：浙江大学、</w:t>
      </w:r>
      <w:r>
        <w:rPr>
          <w:rFonts w:hint="eastAsia" w:ascii="宋体" w:hAnsi="宋体"/>
          <w:spacing w:val="-6"/>
          <w:sz w:val="21"/>
          <w:szCs w:val="21"/>
        </w:rPr>
        <w:t>浙江求是招标代理有限公司</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我</w:t>
      </w:r>
      <w:r>
        <w:rPr>
          <w:rFonts w:ascii="宋体" w:hAnsi="宋体"/>
          <w:spacing w:val="-6"/>
          <w:sz w:val="21"/>
          <w:szCs w:val="21"/>
        </w:rPr>
        <w:t>________________</w:t>
      </w:r>
      <w:r>
        <w:rPr>
          <w:rFonts w:hint="eastAsia" w:ascii="宋体" w:hAnsi="宋体"/>
          <w:spacing w:val="-6"/>
          <w:sz w:val="21"/>
          <w:szCs w:val="21"/>
        </w:rPr>
        <w:t>（</w:t>
      </w:r>
      <w:r>
        <w:rPr>
          <w:rFonts w:ascii="宋体" w:hAnsi="宋体"/>
          <w:bCs/>
          <w:spacing w:val="-6"/>
          <w:sz w:val="21"/>
          <w:szCs w:val="21"/>
        </w:rPr>
        <w:t>姓名</w:t>
      </w:r>
      <w:r>
        <w:rPr>
          <w:rFonts w:hint="eastAsia" w:ascii="宋体" w:hAnsi="宋体"/>
          <w:bCs/>
          <w:spacing w:val="-6"/>
          <w:sz w:val="21"/>
          <w:szCs w:val="21"/>
        </w:rPr>
        <w:t>）</w:t>
      </w:r>
      <w:r>
        <w:rPr>
          <w:rFonts w:ascii="宋体" w:hAnsi="宋体"/>
          <w:bCs/>
          <w:spacing w:val="-6"/>
          <w:sz w:val="21"/>
          <w:szCs w:val="21"/>
        </w:rPr>
        <w:t>系</w:t>
      </w:r>
      <w:r>
        <w:rPr>
          <w:rFonts w:hint="eastAsia" w:ascii="宋体" w:hAnsi="宋体"/>
          <w:bCs/>
          <w:spacing w:val="-6"/>
          <w:sz w:val="21"/>
          <w:szCs w:val="21"/>
        </w:rPr>
        <w:t>_________________________（投标人名称）</w:t>
      </w:r>
      <w:r>
        <w:rPr>
          <w:rFonts w:ascii="宋体" w:hAnsi="宋体"/>
          <w:bCs/>
          <w:spacing w:val="-6"/>
          <w:sz w:val="21"/>
          <w:szCs w:val="21"/>
        </w:rPr>
        <w:t>的法定代表人，身份证</w:t>
      </w:r>
      <w:r>
        <w:rPr>
          <w:rFonts w:hint="eastAsia" w:ascii="宋体" w:hAnsi="宋体"/>
          <w:bCs/>
          <w:spacing w:val="-6"/>
          <w:sz w:val="21"/>
          <w:szCs w:val="21"/>
        </w:rPr>
        <w:t>号码：_________________________________。</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现授权委托本单位在职职工：</w:t>
      </w:r>
      <w:r>
        <w:rPr>
          <w:rFonts w:ascii="宋体" w:hAnsi="宋体"/>
          <w:spacing w:val="-6"/>
          <w:sz w:val="21"/>
          <w:szCs w:val="21"/>
        </w:rPr>
        <w:t>_________</w:t>
      </w:r>
      <w:r>
        <w:rPr>
          <w:rFonts w:hint="eastAsia" w:ascii="宋体" w:hAnsi="宋体"/>
          <w:spacing w:val="-6"/>
          <w:sz w:val="21"/>
          <w:szCs w:val="21"/>
        </w:rPr>
        <w:t>（姓名），身份证号码：</w:t>
      </w:r>
      <w:r>
        <w:rPr>
          <w:rFonts w:ascii="宋体" w:hAnsi="宋体"/>
          <w:spacing w:val="-6"/>
          <w:sz w:val="21"/>
          <w:szCs w:val="21"/>
        </w:rPr>
        <w:t>_______________</w:t>
      </w:r>
      <w:r>
        <w:rPr>
          <w:rFonts w:hint="eastAsia" w:ascii="宋体" w:hAnsi="宋体"/>
          <w:spacing w:val="-6"/>
          <w:sz w:val="21"/>
          <w:szCs w:val="21"/>
        </w:rPr>
        <w:t>，以我方的名义参加</w:t>
      </w:r>
      <w:r>
        <w:rPr>
          <w:rFonts w:hint="eastAsia" w:ascii="宋体" w:hAnsi="宋体"/>
          <w:bCs/>
          <w:spacing w:val="-6"/>
          <w:sz w:val="21"/>
          <w:szCs w:val="21"/>
        </w:rPr>
        <w:t>浙江大学等保配套安全设备扩容建设</w:t>
      </w:r>
      <w:r>
        <w:rPr>
          <w:rFonts w:hint="eastAsia" w:ascii="宋体" w:hAnsi="宋体"/>
          <w:spacing w:val="-6"/>
          <w:sz w:val="21"/>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我方对被授权人的签名负全部责任。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被授权人无转委托权，特此委托。</w:t>
      </w:r>
    </w:p>
    <w:p>
      <w:pPr>
        <w:adjustRightInd w:val="0"/>
        <w:snapToGrid w:val="0"/>
        <w:spacing w:line="288" w:lineRule="auto"/>
        <w:ind w:firstLine="368" w:firstLineChars="186"/>
        <w:rPr>
          <w:rFonts w:ascii="宋体" w:hAnsi="宋体"/>
          <w:spacing w:val="-6"/>
          <w:sz w:val="21"/>
          <w:szCs w:val="21"/>
          <w:u w:val="single"/>
        </w:rPr>
      </w:pPr>
      <w:r>
        <w:rPr>
          <w:rFonts w:hint="eastAsia" w:ascii="宋体" w:hAnsi="宋体"/>
          <w:spacing w:val="-6"/>
          <w:sz w:val="21"/>
          <w:szCs w:val="21"/>
          <w:u w:val="single"/>
        </w:rPr>
        <w:t>▲投标人授权代表必须为投标人本单位在职职工，并提供2021年12月（含）以后任意一月社保缴纳证明。</w:t>
      </w:r>
    </w:p>
    <w:p>
      <w:pPr>
        <w:adjustRightInd w:val="0"/>
        <w:snapToGrid w:val="0"/>
        <w:spacing w:line="288" w:lineRule="auto"/>
        <w:ind w:firstLine="370" w:firstLineChars="186"/>
        <w:rPr>
          <w:rFonts w:ascii="宋体" w:hAnsi="宋体"/>
          <w:b/>
          <w:bCs/>
          <w:spacing w:val="-6"/>
          <w:sz w:val="21"/>
          <w:szCs w:val="21"/>
          <w:u w:val="single"/>
        </w:rPr>
      </w:pPr>
      <w:r>
        <w:rPr>
          <w:rFonts w:hint="eastAsia" w:ascii="宋体" w:hAnsi="宋体"/>
          <w:b/>
          <w:bCs/>
          <w:spacing w:val="-6"/>
          <w:sz w:val="21"/>
          <w:szCs w:val="21"/>
        </w:rPr>
        <w:t>法定代表人（签名或盖章）：</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投标人名称（盖章）：</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日期：     年   月   日</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sz w:val="21"/>
                <w:szCs w:val="21"/>
              </w:rPr>
            </w:pPr>
            <w:r>
              <w:rPr>
                <w:rFonts w:hint="eastAsia" w:ascii="宋体" w:hAnsi="宋体"/>
                <w:sz w:val="21"/>
                <w:szCs w:val="21"/>
              </w:rPr>
              <w:t>法定代表人身份证明：</w:t>
            </w: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r>
              <w:rPr>
                <w:rFonts w:hint="eastAsia" w:ascii="宋体" w:hAnsi="宋体"/>
                <w:sz w:val="21"/>
                <w:szCs w:val="21"/>
              </w:rPr>
              <w:t>授权代表身份证明：</w:t>
            </w: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sz w:val="21"/>
                <w:szCs w:val="21"/>
              </w:rPr>
            </w:pPr>
          </w:p>
          <w:p>
            <w:pPr>
              <w:adjustRightInd w:val="0"/>
              <w:snapToGrid w:val="0"/>
              <w:spacing w:line="288" w:lineRule="auto"/>
              <w:jc w:val="left"/>
              <w:rPr>
                <w:rFonts w:ascii="宋体" w:hAnsi="宋体"/>
                <w:bCs/>
                <w:spacing w:val="-6"/>
                <w:sz w:val="21"/>
                <w:szCs w:val="21"/>
              </w:rPr>
            </w:pPr>
          </w:p>
        </w:tc>
      </w:tr>
    </w:tbl>
    <w:p>
      <w:pPr>
        <w:adjustRightInd w:val="0"/>
        <w:snapToGrid w:val="0"/>
        <w:spacing w:line="288" w:lineRule="auto"/>
        <w:ind w:firstLine="469" w:firstLineChars="236"/>
        <w:jc w:val="center"/>
        <w:outlineLvl w:val="2"/>
        <w:rPr>
          <w:rFonts w:ascii="宋体" w:hAnsi="宋体"/>
          <w:b/>
          <w:bCs/>
          <w:sz w:val="21"/>
          <w:szCs w:val="21"/>
        </w:rPr>
      </w:pPr>
      <w:r>
        <w:rPr>
          <w:rFonts w:ascii="宋体" w:hAnsi="宋体"/>
          <w:b/>
          <w:spacing w:val="-6"/>
          <w:sz w:val="21"/>
          <w:szCs w:val="21"/>
        </w:rPr>
        <w:br w:type="page"/>
      </w:r>
      <w:r>
        <w:rPr>
          <w:rFonts w:hint="eastAsia" w:ascii="宋体" w:hAnsi="宋体"/>
          <w:b/>
          <w:bCs/>
          <w:sz w:val="21"/>
          <w:szCs w:val="21"/>
        </w:rPr>
        <w:t>（</w:t>
      </w:r>
      <w:r>
        <w:rPr>
          <w:rFonts w:ascii="宋体" w:hAnsi="宋体"/>
          <w:b/>
          <w:bCs/>
          <w:sz w:val="21"/>
          <w:szCs w:val="21"/>
        </w:rPr>
        <w:t>2</w:t>
      </w:r>
      <w:r>
        <w:rPr>
          <w:rFonts w:hint="eastAsia" w:ascii="宋体" w:hAnsi="宋体"/>
          <w:b/>
          <w:bCs/>
          <w:sz w:val="21"/>
          <w:szCs w:val="21"/>
        </w:rPr>
        <w:t>）2021年12月（含）以后任意一月的投标授权代表社保缴纳证明</w:t>
      </w:r>
    </w:p>
    <w:p>
      <w:pPr>
        <w:adjustRightInd w:val="0"/>
        <w:snapToGrid w:val="0"/>
        <w:spacing w:line="288" w:lineRule="auto"/>
        <w:jc w:val="center"/>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3</w:t>
      </w:r>
      <w:r>
        <w:rPr>
          <w:rFonts w:hint="eastAsia" w:ascii="宋体" w:hAnsi="宋体"/>
          <w:b/>
          <w:bCs/>
          <w:sz w:val="21"/>
          <w:szCs w:val="21"/>
        </w:rPr>
        <w:t>）投标人同类合同一览表</w:t>
      </w:r>
    </w:p>
    <w:tbl>
      <w:tblPr>
        <w:tblStyle w:val="2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合同金额</w:t>
            </w:r>
          </w:p>
          <w:p>
            <w:pPr>
              <w:adjustRightInd w:val="0"/>
              <w:snapToGrid w:val="0"/>
              <w:spacing w:line="288" w:lineRule="auto"/>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采购人联系人</w:t>
            </w:r>
          </w:p>
          <w:p>
            <w:pPr>
              <w:adjustRightInd w:val="0"/>
              <w:snapToGrid w:val="0"/>
              <w:spacing w:line="288" w:lineRule="auto"/>
              <w:jc w:val="center"/>
              <w:rPr>
                <w:rFonts w:ascii="宋体" w:hAnsi="宋体"/>
                <w:b/>
                <w:sz w:val="21"/>
                <w:szCs w:val="21"/>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4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5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sz w:val="21"/>
                <w:szCs w:val="21"/>
              </w:rPr>
            </w:pPr>
          </w:p>
        </w:tc>
      </w:tr>
    </w:tbl>
    <w:p>
      <w:pPr>
        <w:pStyle w:val="18"/>
        <w:adjustRightInd w:val="0"/>
        <w:snapToGrid w:val="0"/>
        <w:spacing w:line="288" w:lineRule="auto"/>
        <w:ind w:left="420" w:hanging="420"/>
        <w:rPr>
          <w:rFonts w:ascii="宋体" w:hAnsi="宋体"/>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说明：</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所有合同复印件应清晰，应能体现合同签订时间、双方签名盖章等内容；</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jc w:val="center"/>
        <w:outlineLvl w:val="1"/>
        <w:rPr>
          <w:rFonts w:ascii="宋体" w:hAnsi="宋体"/>
          <w:b/>
          <w:bCs/>
          <w:iCs/>
          <w:spacing w:val="-6"/>
          <w:sz w:val="21"/>
          <w:szCs w:val="21"/>
        </w:rPr>
      </w:pPr>
      <w:r>
        <w:rPr>
          <w:rFonts w:hint="eastAsia" w:ascii="宋体" w:hAnsi="宋体"/>
          <w:spacing w:val="-6"/>
          <w:sz w:val="21"/>
          <w:szCs w:val="21"/>
        </w:rPr>
        <w:br w:type="page"/>
      </w:r>
    </w:p>
    <w:p>
      <w:pPr>
        <w:adjustRightInd w:val="0"/>
        <w:snapToGrid w:val="0"/>
        <w:spacing w:line="288" w:lineRule="auto"/>
        <w:ind w:firstLine="498" w:firstLineChars="236"/>
        <w:jc w:val="center"/>
        <w:outlineLvl w:val="2"/>
        <w:rPr>
          <w:rFonts w:ascii="宋体" w:hAnsi="宋体"/>
          <w:b/>
          <w:bCs/>
          <w:sz w:val="21"/>
          <w:szCs w:val="21"/>
        </w:rPr>
      </w:pPr>
      <w:r>
        <w:rPr>
          <w:rFonts w:hint="eastAsia" w:ascii="宋体" w:hAnsi="宋体"/>
          <w:b/>
          <w:bCs/>
          <w:sz w:val="21"/>
          <w:szCs w:val="21"/>
        </w:rPr>
        <w:t>（</w:t>
      </w:r>
      <w:r>
        <w:rPr>
          <w:rFonts w:ascii="宋体" w:hAnsi="宋体"/>
          <w:b/>
          <w:bCs/>
          <w:sz w:val="21"/>
          <w:szCs w:val="21"/>
        </w:rPr>
        <w:t>4</w:t>
      </w:r>
      <w:r>
        <w:rPr>
          <w:rFonts w:hint="eastAsia" w:ascii="宋体" w:hAnsi="宋体"/>
          <w:b/>
          <w:bCs/>
          <w:sz w:val="21"/>
          <w:szCs w:val="21"/>
        </w:rPr>
        <w:t>）采购</w:t>
      </w:r>
      <w:r>
        <w:rPr>
          <w:rFonts w:ascii="宋体" w:hAnsi="宋体"/>
          <w:b/>
          <w:bCs/>
          <w:sz w:val="21"/>
          <w:szCs w:val="21"/>
        </w:rPr>
        <w:t>需求</w:t>
      </w:r>
      <w:r>
        <w:rPr>
          <w:rFonts w:hint="eastAsia" w:ascii="宋体" w:hAnsi="宋体"/>
          <w:b/>
          <w:bCs/>
          <w:sz w:val="21"/>
          <w:szCs w:val="21"/>
        </w:rPr>
        <w:t>偏离表</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采购人：浙江大学</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项目名称：等保配套安全设备扩容建设</w:t>
      </w:r>
    </w:p>
    <w:p>
      <w:pPr>
        <w:adjustRightInd w:val="0"/>
        <w:snapToGrid w:val="0"/>
        <w:spacing w:line="288" w:lineRule="auto"/>
        <w:rPr>
          <w:rFonts w:ascii="宋体" w:hAnsi="宋体"/>
          <w:bCs/>
          <w:spacing w:val="-6"/>
          <w:sz w:val="21"/>
          <w:szCs w:val="21"/>
        </w:rPr>
      </w:pPr>
      <w:r>
        <w:rPr>
          <w:rFonts w:hint="eastAsia" w:ascii="宋体" w:hAnsi="宋体"/>
          <w:bCs/>
          <w:spacing w:val="-6"/>
          <w:sz w:val="21"/>
          <w:szCs w:val="21"/>
        </w:rPr>
        <w:t>项目编号：QSZB-Z(H)-A22241(GK)</w:t>
      </w:r>
    </w:p>
    <w:tbl>
      <w:tblPr>
        <w:tblStyle w:val="2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3260"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招标文件要求</w:t>
            </w:r>
          </w:p>
        </w:tc>
        <w:tc>
          <w:tcPr>
            <w:tcW w:w="3402"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响应内容</w:t>
            </w:r>
          </w:p>
        </w:tc>
        <w:tc>
          <w:tcPr>
            <w:tcW w:w="1985"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是否偏离</w:t>
            </w:r>
          </w:p>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9498" w:type="dxa"/>
            <w:gridSpan w:val="4"/>
            <w:vAlign w:val="center"/>
          </w:tcPr>
          <w:p>
            <w:pPr>
              <w:adjustRightInd w:val="0"/>
              <w:snapToGrid w:val="0"/>
              <w:spacing w:line="288" w:lineRule="auto"/>
              <w:rPr>
                <w:rFonts w:ascii="宋体" w:hAnsi="宋体"/>
                <w:b/>
                <w:sz w:val="21"/>
                <w:szCs w:val="21"/>
              </w:rPr>
            </w:pPr>
            <w:r>
              <w:rPr>
                <w:rFonts w:hint="eastAsia" w:ascii="宋体" w:hAnsi="宋体"/>
                <w:b/>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pacing w:val="-6"/>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adjustRightInd w:val="0"/>
              <w:snapToGrid w:val="0"/>
              <w:spacing w:line="288" w:lineRule="auto"/>
              <w:rPr>
                <w:rFonts w:ascii="宋体" w:hAnsi="宋体"/>
                <w:b/>
                <w:spacing w:val="-6"/>
                <w:sz w:val="21"/>
                <w:szCs w:val="21"/>
              </w:rPr>
            </w:pPr>
            <w:r>
              <w:rPr>
                <w:rFonts w:ascii="宋体" w:hAnsi="宋体"/>
                <w:b/>
                <w:spacing w:val="-6"/>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adjustRightInd w:val="0"/>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adjustRightInd w:val="0"/>
              <w:snapToGrid w:val="0"/>
              <w:spacing w:line="288" w:lineRule="auto"/>
              <w:jc w:val="center"/>
              <w:rPr>
                <w:rFonts w:ascii="宋体" w:hAnsi="宋体"/>
                <w:sz w:val="21"/>
                <w:szCs w:val="21"/>
              </w:rPr>
            </w:pPr>
          </w:p>
        </w:tc>
        <w:tc>
          <w:tcPr>
            <w:tcW w:w="3402" w:type="dxa"/>
            <w:vAlign w:val="center"/>
          </w:tcPr>
          <w:p>
            <w:pPr>
              <w:adjustRightInd w:val="0"/>
              <w:snapToGrid w:val="0"/>
              <w:spacing w:line="288" w:lineRule="auto"/>
              <w:jc w:val="center"/>
              <w:rPr>
                <w:rFonts w:ascii="宋体" w:hAnsi="宋体"/>
                <w:spacing w:val="-6"/>
                <w:sz w:val="21"/>
                <w:szCs w:val="21"/>
              </w:rPr>
            </w:pPr>
          </w:p>
        </w:tc>
        <w:tc>
          <w:tcPr>
            <w:tcW w:w="1985" w:type="dxa"/>
            <w:vAlign w:val="center"/>
          </w:tcPr>
          <w:p>
            <w:pPr>
              <w:adjustRightInd w:val="0"/>
              <w:snapToGrid w:val="0"/>
              <w:spacing w:line="288" w:lineRule="auto"/>
              <w:jc w:val="center"/>
              <w:rPr>
                <w:rFonts w:ascii="宋体" w:hAnsi="宋体"/>
                <w:spacing w:val="-6"/>
                <w:sz w:val="21"/>
                <w:szCs w:val="21"/>
              </w:rPr>
            </w:pPr>
          </w:p>
        </w:tc>
      </w:tr>
    </w:tbl>
    <w:p>
      <w:pPr>
        <w:adjustRightInd w:val="0"/>
        <w:snapToGrid w:val="0"/>
        <w:spacing w:line="288" w:lineRule="auto"/>
        <w:rPr>
          <w:rFonts w:ascii="宋体" w:hAnsi="宋体"/>
          <w:b/>
          <w:bCs/>
          <w:spacing w:val="-6"/>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说明：</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逐项按照招标文件要求填写响应规格；</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偏离说明是指对招标文件要求存在不同之处的解释说明。偏离系指：正偏离（高于招标要求）、负偏离（低于招标要求）、无偏离（满足招标要求）；</w:t>
      </w:r>
    </w:p>
    <w:p>
      <w:pPr>
        <w:adjustRightInd w:val="0"/>
        <w:snapToGrid w:val="0"/>
        <w:spacing w:line="288" w:lineRule="auto"/>
        <w:rPr>
          <w:rFonts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，自行承担投标风险。</w:t>
      </w: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ind w:firstLine="469" w:firstLineChars="236"/>
        <w:jc w:val="center"/>
        <w:outlineLvl w:val="2"/>
        <w:rPr>
          <w:rFonts w:ascii="宋体" w:hAnsi="宋体"/>
          <w:b/>
          <w:bCs/>
          <w:sz w:val="21"/>
          <w:szCs w:val="21"/>
        </w:rPr>
      </w:pPr>
      <w:r>
        <w:rPr>
          <w:rFonts w:ascii="宋体" w:hAnsi="宋体"/>
          <w:b/>
          <w:spacing w:val="-6"/>
          <w:sz w:val="21"/>
          <w:szCs w:val="21"/>
        </w:rPr>
        <w:br w:type="page"/>
      </w:r>
      <w:r>
        <w:rPr>
          <w:rFonts w:hint="eastAsia" w:ascii="宋体" w:hAnsi="宋体"/>
          <w:b/>
          <w:bCs/>
          <w:sz w:val="21"/>
          <w:szCs w:val="21"/>
        </w:rPr>
        <w:t>（</w:t>
      </w:r>
      <w:r>
        <w:rPr>
          <w:rFonts w:ascii="宋体" w:hAnsi="宋体"/>
          <w:b/>
          <w:bCs/>
          <w:sz w:val="21"/>
          <w:szCs w:val="21"/>
        </w:rPr>
        <w:t>5</w:t>
      </w:r>
      <w:r>
        <w:rPr>
          <w:rFonts w:hint="eastAsia" w:ascii="宋体" w:hAnsi="宋体"/>
          <w:b/>
          <w:bCs/>
          <w:sz w:val="21"/>
          <w:szCs w:val="21"/>
        </w:rPr>
        <w:t>）标的物配置清单（不含报价）</w:t>
      </w:r>
    </w:p>
    <w:tbl>
      <w:tblPr>
        <w:tblStyle w:val="23"/>
        <w:tblW w:w="94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077"/>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bookmarkStart w:id="51" w:name="_Hlk94103368"/>
            <w:r>
              <w:rPr>
                <w:rFonts w:hint="eastAsia" w:ascii="宋体" w:hAnsi="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品牌</w:t>
            </w: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规格型号</w:t>
            </w:r>
          </w:p>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cs="宋体"/>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p>
        </w:tc>
      </w:tr>
      <w:bookmarkEnd w:id="51"/>
    </w:tbl>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投标人名称（盖章）：</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投标人代表签名：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日期：    年  月  日</w:t>
      </w:r>
    </w:p>
    <w:p>
      <w:pPr>
        <w:adjustRightInd w:val="0"/>
        <w:snapToGrid w:val="0"/>
        <w:spacing w:line="288" w:lineRule="auto"/>
        <w:rPr>
          <w:rFonts w:ascii="宋体" w:hAnsi="宋体"/>
          <w:b/>
          <w:spacing w:val="-6"/>
          <w:sz w:val="21"/>
          <w:szCs w:val="21"/>
        </w:rPr>
      </w:pP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附：产品技术支持材料</w:t>
      </w:r>
    </w:p>
    <w:p>
      <w:pPr>
        <w:adjustRightInd w:val="0"/>
        <w:snapToGrid w:val="0"/>
        <w:spacing w:line="288" w:lineRule="auto"/>
        <w:jc w:val="center"/>
        <w:outlineLvl w:val="1"/>
        <w:rPr>
          <w:rFonts w:ascii="宋体" w:hAnsi="宋体"/>
          <w:b/>
          <w:spacing w:val="-6"/>
          <w:sz w:val="21"/>
          <w:szCs w:val="21"/>
        </w:rPr>
      </w:pPr>
      <w:r>
        <w:rPr>
          <w:rFonts w:ascii="宋体" w:hAnsi="宋体"/>
          <w:b/>
          <w:spacing w:val="-6"/>
          <w:sz w:val="21"/>
          <w:szCs w:val="21"/>
        </w:rPr>
        <w:br w:type="page"/>
      </w:r>
    </w:p>
    <w:p>
      <w:pPr>
        <w:adjustRightInd w:val="0"/>
        <w:snapToGrid w:val="0"/>
        <w:spacing w:line="288" w:lineRule="auto"/>
        <w:jc w:val="center"/>
        <w:rPr>
          <w:rFonts w:ascii="宋体" w:hAnsi="宋体" w:cs="宋体"/>
          <w:b/>
          <w:spacing w:val="-6"/>
          <w:sz w:val="21"/>
          <w:szCs w:val="21"/>
        </w:rPr>
      </w:pPr>
      <w:r>
        <w:rPr>
          <w:rFonts w:hint="eastAsia" w:ascii="宋体" w:hAnsi="宋体" w:cs="宋体"/>
          <w:b/>
          <w:spacing w:val="-6"/>
          <w:sz w:val="21"/>
          <w:szCs w:val="21"/>
        </w:rPr>
        <w:t>以下内容格式自拟</w:t>
      </w:r>
    </w:p>
    <w:p>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（6）人员要求</w:t>
      </w:r>
    </w:p>
    <w:p>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（7）技术方案</w:t>
      </w:r>
    </w:p>
    <w:p>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（8）实施方案</w:t>
      </w:r>
    </w:p>
    <w:p>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（9）应急保障方案</w:t>
      </w:r>
    </w:p>
    <w:p>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（10）售后服务方案</w:t>
      </w:r>
    </w:p>
    <w:p>
      <w:pPr>
        <w:adjustRightInd w:val="0"/>
        <w:snapToGrid w:val="0"/>
        <w:spacing w:line="288" w:lineRule="auto"/>
        <w:rPr>
          <w:rFonts w:hint="eastAsia" w:ascii="宋体" w:hAnsi="宋体" w:cs="宋体"/>
          <w:b/>
          <w:spacing w:val="-6"/>
          <w:sz w:val="21"/>
          <w:szCs w:val="21"/>
        </w:rPr>
      </w:pPr>
      <w:r>
        <w:rPr>
          <w:rFonts w:hint="eastAsia" w:ascii="宋体" w:hAnsi="宋体" w:cs="宋体"/>
          <w:b/>
          <w:spacing w:val="-6"/>
          <w:sz w:val="21"/>
          <w:szCs w:val="21"/>
        </w:rPr>
        <w:t>（11）培训方案</w:t>
      </w: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（12）备品备件</w:t>
      </w:r>
    </w:p>
    <w:p>
      <w:pPr>
        <w:adjustRightInd w:val="0"/>
        <w:snapToGrid w:val="0"/>
        <w:spacing w:line="288" w:lineRule="auto"/>
        <w:rPr>
          <w:rFonts w:ascii="宋体" w:hAnsi="宋体" w:cs="宋体"/>
          <w:b/>
          <w:spacing w:val="-6"/>
          <w:sz w:val="21"/>
          <w:szCs w:val="21"/>
        </w:rPr>
      </w:pPr>
    </w:p>
    <w:p>
      <w:pPr>
        <w:adjustRightInd w:val="0"/>
        <w:snapToGrid w:val="0"/>
        <w:spacing w:line="288" w:lineRule="auto"/>
        <w:rPr>
          <w:rFonts w:ascii="宋体" w:hAnsi="宋体" w:cs="宋体"/>
          <w:b/>
          <w:spacing w:val="-6"/>
          <w:sz w:val="21"/>
          <w:szCs w:val="21"/>
        </w:rPr>
      </w:pPr>
    </w:p>
    <w:p>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（1</w:t>
      </w:r>
      <w:r>
        <w:rPr>
          <w:rFonts w:hint="eastAsia" w:ascii="宋体" w:hAnsi="宋体" w:cs="宋体"/>
          <w:b/>
          <w:spacing w:val="-6"/>
          <w:sz w:val="21"/>
          <w:szCs w:val="21"/>
          <w:lang w:val="en-US" w:eastAsia="zh-CN"/>
        </w:rPr>
        <w:t>3</w:t>
      </w:r>
      <w:r>
        <w:rPr>
          <w:rFonts w:hint="eastAsia" w:ascii="宋体" w:hAnsi="宋体" w:cs="宋体"/>
          <w:b/>
          <w:spacing w:val="-6"/>
          <w:sz w:val="21"/>
          <w:szCs w:val="21"/>
        </w:rPr>
        <w:t>）节能环保产品证明材料</w:t>
      </w:r>
    </w:p>
    <w:p>
      <w:pPr>
        <w:adjustRightInd w:val="0"/>
        <w:snapToGrid w:val="0"/>
        <w:spacing w:line="288" w:lineRule="auto"/>
        <w:rPr>
          <w:rFonts w:ascii="宋体" w:hAnsi="宋体"/>
          <w:b/>
          <w:sz w:val="21"/>
          <w:szCs w:val="21"/>
        </w:rPr>
      </w:pPr>
      <w:r>
        <w:rPr>
          <w:rFonts w:hint="eastAsia" w:ascii="宋体" w:hAnsi="宋体"/>
          <w:b/>
          <w:sz w:val="21"/>
          <w:szCs w:val="21"/>
        </w:rPr>
        <w:t>说明：投标产品属于品目清单范围且提供国家确定的认证机构出具的有效的节能产品、环境标志产品认证证书（复印件）。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jc w:val="left"/>
        <w:rPr>
          <w:rFonts w:ascii="宋体" w:hAnsi="宋体"/>
          <w:spacing w:val="-6"/>
          <w:sz w:val="21"/>
          <w:szCs w:val="21"/>
        </w:rPr>
      </w:pPr>
    </w:p>
    <w:p>
      <w:pPr>
        <w:adjustRightInd w:val="0"/>
        <w:snapToGrid w:val="0"/>
        <w:spacing w:line="288" w:lineRule="auto"/>
        <w:rPr>
          <w:rFonts w:ascii="宋体" w:hAnsi="宋体" w:cs="宋体"/>
          <w:b/>
          <w:spacing w:val="-6"/>
          <w:sz w:val="21"/>
          <w:szCs w:val="21"/>
        </w:rPr>
      </w:pPr>
    </w:p>
    <w:p>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（1</w:t>
      </w:r>
      <w:r>
        <w:rPr>
          <w:rFonts w:hint="eastAsia" w:ascii="宋体" w:hAnsi="宋体" w:cs="宋体"/>
          <w:b/>
          <w:spacing w:val="-6"/>
          <w:sz w:val="21"/>
          <w:szCs w:val="21"/>
          <w:lang w:val="en-US" w:eastAsia="zh-CN"/>
        </w:rPr>
        <w:t>4</w:t>
      </w:r>
      <w:r>
        <w:rPr>
          <w:rFonts w:hint="eastAsia" w:ascii="宋体" w:hAnsi="宋体" w:cs="宋体"/>
          <w:b/>
          <w:spacing w:val="-6"/>
          <w:sz w:val="21"/>
          <w:szCs w:val="21"/>
        </w:rPr>
        <w:t>）科技创新相关证明材料</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cs="宋体"/>
          <w:b/>
          <w:spacing w:val="-6"/>
          <w:sz w:val="21"/>
          <w:szCs w:val="21"/>
        </w:rPr>
      </w:pPr>
    </w:p>
    <w:p>
      <w:pPr>
        <w:adjustRightInd w:val="0"/>
        <w:snapToGrid w:val="0"/>
        <w:spacing w:line="288" w:lineRule="auto"/>
        <w:outlineLvl w:val="2"/>
        <w:rPr>
          <w:rFonts w:ascii="宋体" w:hAnsi="宋体" w:cs="宋体"/>
          <w:b/>
          <w:spacing w:val="-6"/>
          <w:sz w:val="21"/>
          <w:szCs w:val="21"/>
        </w:rPr>
      </w:pPr>
      <w:r>
        <w:rPr>
          <w:rFonts w:hint="eastAsia" w:ascii="宋体" w:hAnsi="宋体" w:cs="宋体"/>
          <w:b/>
          <w:spacing w:val="-6"/>
          <w:sz w:val="21"/>
          <w:szCs w:val="21"/>
        </w:rPr>
        <w:t>（1</w:t>
      </w:r>
      <w:r>
        <w:rPr>
          <w:rFonts w:hint="eastAsia" w:ascii="宋体" w:hAnsi="宋体" w:cs="宋体"/>
          <w:b/>
          <w:spacing w:val="-6"/>
          <w:sz w:val="21"/>
          <w:szCs w:val="21"/>
          <w:lang w:val="en-US" w:eastAsia="zh-CN"/>
        </w:rPr>
        <w:t>5</w:t>
      </w:r>
      <w:r>
        <w:rPr>
          <w:rFonts w:hint="eastAsia" w:ascii="宋体" w:hAnsi="宋体" w:cs="宋体"/>
          <w:b/>
          <w:spacing w:val="-6"/>
          <w:sz w:val="21"/>
          <w:szCs w:val="21"/>
        </w:rPr>
        <w:t>）投标人需要说明的其他文件和材料。</w:t>
      </w:r>
    </w:p>
    <w:p>
      <w:pPr>
        <w:spacing w:line="360" w:lineRule="auto"/>
        <w:jc w:val="left"/>
        <w:rPr>
          <w:rFonts w:ascii="宋体" w:hAnsi="宋体"/>
          <w:b/>
          <w:spacing w:val="-6"/>
          <w:sz w:val="24"/>
        </w:rPr>
      </w:pPr>
    </w:p>
    <w:sectPr>
      <w:footerReference r:id="rId5" w:type="default"/>
      <w:pgSz w:w="11906" w:h="16838"/>
      <w:pgMar w:top="1247" w:right="1247" w:bottom="1247" w:left="1247" w:header="35"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19</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inline distT="0" distB="0" distL="0" distR="0">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842752"/>
    <w:multiLevelType w:val="multilevel"/>
    <w:tmpl w:val="0A842752"/>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BC8612C"/>
    <w:multiLevelType w:val="multilevel"/>
    <w:tmpl w:val="5BC8612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MGU4NGU5ODA3OGQyMDhmNDUyOGQ2MDRjM2NjY2QifQ=="/>
  </w:docVars>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2B0"/>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1F06"/>
    <w:rsid w:val="0003200B"/>
    <w:rsid w:val="00032280"/>
    <w:rsid w:val="000325E1"/>
    <w:rsid w:val="0003269A"/>
    <w:rsid w:val="00033A0C"/>
    <w:rsid w:val="00033E2F"/>
    <w:rsid w:val="00034702"/>
    <w:rsid w:val="0003474D"/>
    <w:rsid w:val="00034B6F"/>
    <w:rsid w:val="00035A6C"/>
    <w:rsid w:val="00036996"/>
    <w:rsid w:val="0003700E"/>
    <w:rsid w:val="0003797E"/>
    <w:rsid w:val="00040041"/>
    <w:rsid w:val="00041D0F"/>
    <w:rsid w:val="00041FA3"/>
    <w:rsid w:val="000420B5"/>
    <w:rsid w:val="00042442"/>
    <w:rsid w:val="00043990"/>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57D97"/>
    <w:rsid w:val="0006044C"/>
    <w:rsid w:val="00060AAB"/>
    <w:rsid w:val="00061877"/>
    <w:rsid w:val="00061D6C"/>
    <w:rsid w:val="000623DA"/>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0A46"/>
    <w:rsid w:val="00071135"/>
    <w:rsid w:val="00071C2A"/>
    <w:rsid w:val="00072425"/>
    <w:rsid w:val="00072F4C"/>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36D"/>
    <w:rsid w:val="000957CD"/>
    <w:rsid w:val="00095FDF"/>
    <w:rsid w:val="00096127"/>
    <w:rsid w:val="0009622F"/>
    <w:rsid w:val="000965C7"/>
    <w:rsid w:val="0009732C"/>
    <w:rsid w:val="000975C3"/>
    <w:rsid w:val="000977BD"/>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3F20"/>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5"/>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6F72"/>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23E"/>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565"/>
    <w:rsid w:val="001578A4"/>
    <w:rsid w:val="001578F4"/>
    <w:rsid w:val="00157BA2"/>
    <w:rsid w:val="00157C26"/>
    <w:rsid w:val="00160B84"/>
    <w:rsid w:val="00160CFE"/>
    <w:rsid w:val="00161017"/>
    <w:rsid w:val="001612EB"/>
    <w:rsid w:val="001613DD"/>
    <w:rsid w:val="0016303D"/>
    <w:rsid w:val="001632A6"/>
    <w:rsid w:val="00163EB2"/>
    <w:rsid w:val="00163FCC"/>
    <w:rsid w:val="00164AA0"/>
    <w:rsid w:val="00164C43"/>
    <w:rsid w:val="00164DDA"/>
    <w:rsid w:val="00165007"/>
    <w:rsid w:val="001650B5"/>
    <w:rsid w:val="001655BB"/>
    <w:rsid w:val="001656CC"/>
    <w:rsid w:val="001657DB"/>
    <w:rsid w:val="001662B7"/>
    <w:rsid w:val="001663C7"/>
    <w:rsid w:val="00166D5B"/>
    <w:rsid w:val="0016712C"/>
    <w:rsid w:val="00167778"/>
    <w:rsid w:val="00167CCA"/>
    <w:rsid w:val="00167E5F"/>
    <w:rsid w:val="00170101"/>
    <w:rsid w:val="0017021A"/>
    <w:rsid w:val="001705EE"/>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30"/>
    <w:rsid w:val="001772C1"/>
    <w:rsid w:val="00177F6F"/>
    <w:rsid w:val="0018095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1E89"/>
    <w:rsid w:val="001C25B8"/>
    <w:rsid w:val="001C2721"/>
    <w:rsid w:val="001C2FF2"/>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3B7"/>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A5F"/>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4F5"/>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822"/>
    <w:rsid w:val="00260977"/>
    <w:rsid w:val="002617EF"/>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87A00"/>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C92"/>
    <w:rsid w:val="002E4E0D"/>
    <w:rsid w:val="002E4FDC"/>
    <w:rsid w:val="002E549E"/>
    <w:rsid w:val="002E5791"/>
    <w:rsid w:val="002E62A7"/>
    <w:rsid w:val="002E63DD"/>
    <w:rsid w:val="002E64B2"/>
    <w:rsid w:val="002E6546"/>
    <w:rsid w:val="002E66CF"/>
    <w:rsid w:val="002E68EC"/>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77E"/>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3B1"/>
    <w:rsid w:val="00362FEA"/>
    <w:rsid w:val="0036319C"/>
    <w:rsid w:val="003636F6"/>
    <w:rsid w:val="003641CF"/>
    <w:rsid w:val="0036450B"/>
    <w:rsid w:val="003646DE"/>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1FD6"/>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6ED"/>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A63"/>
    <w:rsid w:val="003C6E6D"/>
    <w:rsid w:val="003C7359"/>
    <w:rsid w:val="003C746E"/>
    <w:rsid w:val="003C77EB"/>
    <w:rsid w:val="003D0671"/>
    <w:rsid w:val="003D0B26"/>
    <w:rsid w:val="003D1D6D"/>
    <w:rsid w:val="003D1E07"/>
    <w:rsid w:val="003D236C"/>
    <w:rsid w:val="003D2811"/>
    <w:rsid w:val="003D2850"/>
    <w:rsid w:val="003D306E"/>
    <w:rsid w:val="003D3342"/>
    <w:rsid w:val="003D35A2"/>
    <w:rsid w:val="003D39BB"/>
    <w:rsid w:val="003D3E5C"/>
    <w:rsid w:val="003D4183"/>
    <w:rsid w:val="003D49CA"/>
    <w:rsid w:val="003D5252"/>
    <w:rsid w:val="003D668F"/>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4C6D"/>
    <w:rsid w:val="0042563A"/>
    <w:rsid w:val="00425765"/>
    <w:rsid w:val="00426194"/>
    <w:rsid w:val="00426F7F"/>
    <w:rsid w:val="00427131"/>
    <w:rsid w:val="004277BA"/>
    <w:rsid w:val="00427E22"/>
    <w:rsid w:val="0043146E"/>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952"/>
    <w:rsid w:val="00471EB2"/>
    <w:rsid w:val="004721D5"/>
    <w:rsid w:val="004742F2"/>
    <w:rsid w:val="0047439E"/>
    <w:rsid w:val="00474605"/>
    <w:rsid w:val="00474C99"/>
    <w:rsid w:val="00475629"/>
    <w:rsid w:val="00475CE0"/>
    <w:rsid w:val="0047604F"/>
    <w:rsid w:val="00476CE1"/>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2D57"/>
    <w:rsid w:val="00494993"/>
    <w:rsid w:val="00494A34"/>
    <w:rsid w:val="00495226"/>
    <w:rsid w:val="00495BB8"/>
    <w:rsid w:val="00496105"/>
    <w:rsid w:val="004968B7"/>
    <w:rsid w:val="00496ACD"/>
    <w:rsid w:val="00496AF0"/>
    <w:rsid w:val="004A1B90"/>
    <w:rsid w:val="004A20D9"/>
    <w:rsid w:val="004A24A6"/>
    <w:rsid w:val="004A2DE8"/>
    <w:rsid w:val="004A3050"/>
    <w:rsid w:val="004A3B64"/>
    <w:rsid w:val="004A3D82"/>
    <w:rsid w:val="004A3FE4"/>
    <w:rsid w:val="004A489C"/>
    <w:rsid w:val="004A52BC"/>
    <w:rsid w:val="004A57E5"/>
    <w:rsid w:val="004A7ED0"/>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5C3B"/>
    <w:rsid w:val="004E5CF2"/>
    <w:rsid w:val="004E641D"/>
    <w:rsid w:val="004E65BF"/>
    <w:rsid w:val="004E666E"/>
    <w:rsid w:val="004E7BAF"/>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4E"/>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73A"/>
    <w:rsid w:val="00522A86"/>
    <w:rsid w:val="00522CE3"/>
    <w:rsid w:val="00523E7A"/>
    <w:rsid w:val="00524474"/>
    <w:rsid w:val="00524853"/>
    <w:rsid w:val="00525157"/>
    <w:rsid w:val="00525E6C"/>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2F43"/>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DFA"/>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845"/>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3EAF"/>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8A1"/>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301"/>
    <w:rsid w:val="0061497F"/>
    <w:rsid w:val="00614ACB"/>
    <w:rsid w:val="00616B49"/>
    <w:rsid w:val="006171F9"/>
    <w:rsid w:val="00617997"/>
    <w:rsid w:val="00617E4F"/>
    <w:rsid w:val="006212A6"/>
    <w:rsid w:val="0062136D"/>
    <w:rsid w:val="00622BCB"/>
    <w:rsid w:val="0062313E"/>
    <w:rsid w:val="0062338F"/>
    <w:rsid w:val="006234A2"/>
    <w:rsid w:val="00623F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0367"/>
    <w:rsid w:val="00661B07"/>
    <w:rsid w:val="006625A5"/>
    <w:rsid w:val="0066293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4D0E"/>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B8F"/>
    <w:rsid w:val="00693F70"/>
    <w:rsid w:val="006941E8"/>
    <w:rsid w:val="0069435B"/>
    <w:rsid w:val="006943DE"/>
    <w:rsid w:val="006944FE"/>
    <w:rsid w:val="00694A49"/>
    <w:rsid w:val="00695482"/>
    <w:rsid w:val="00695EC0"/>
    <w:rsid w:val="0069653B"/>
    <w:rsid w:val="00696830"/>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5F07"/>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063"/>
    <w:rsid w:val="006F2E78"/>
    <w:rsid w:val="006F31C0"/>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329E"/>
    <w:rsid w:val="00704EE2"/>
    <w:rsid w:val="007050BF"/>
    <w:rsid w:val="007052D6"/>
    <w:rsid w:val="00705578"/>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689"/>
    <w:rsid w:val="00716D52"/>
    <w:rsid w:val="00717BBD"/>
    <w:rsid w:val="007202C8"/>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4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47489"/>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EAD"/>
    <w:rsid w:val="00795FF3"/>
    <w:rsid w:val="0079613D"/>
    <w:rsid w:val="00796457"/>
    <w:rsid w:val="0079687A"/>
    <w:rsid w:val="00796EBB"/>
    <w:rsid w:val="00797228"/>
    <w:rsid w:val="00797AC4"/>
    <w:rsid w:val="00797C10"/>
    <w:rsid w:val="007A0A33"/>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5D9A"/>
    <w:rsid w:val="007D6F08"/>
    <w:rsid w:val="007D6F12"/>
    <w:rsid w:val="007D74B2"/>
    <w:rsid w:val="007D7679"/>
    <w:rsid w:val="007D7947"/>
    <w:rsid w:val="007D7FA2"/>
    <w:rsid w:val="007E058F"/>
    <w:rsid w:val="007E2B8B"/>
    <w:rsid w:val="007E48B5"/>
    <w:rsid w:val="007E5B57"/>
    <w:rsid w:val="007E6121"/>
    <w:rsid w:val="007E6181"/>
    <w:rsid w:val="007E63A8"/>
    <w:rsid w:val="007E709E"/>
    <w:rsid w:val="007E709F"/>
    <w:rsid w:val="007E765F"/>
    <w:rsid w:val="007E7A56"/>
    <w:rsid w:val="007E7C21"/>
    <w:rsid w:val="007E7D9B"/>
    <w:rsid w:val="007F0774"/>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CA3"/>
    <w:rsid w:val="007F647D"/>
    <w:rsid w:val="007F6D41"/>
    <w:rsid w:val="007F6D44"/>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2FC0"/>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268A"/>
    <w:rsid w:val="00834886"/>
    <w:rsid w:val="00837A14"/>
    <w:rsid w:val="00837F83"/>
    <w:rsid w:val="008409E1"/>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245"/>
    <w:rsid w:val="00863F16"/>
    <w:rsid w:val="00864094"/>
    <w:rsid w:val="0086504F"/>
    <w:rsid w:val="008655DA"/>
    <w:rsid w:val="008656C6"/>
    <w:rsid w:val="00866CE1"/>
    <w:rsid w:val="00866EC9"/>
    <w:rsid w:val="0087025B"/>
    <w:rsid w:val="008704DC"/>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45A"/>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A78C3"/>
    <w:rsid w:val="008B0295"/>
    <w:rsid w:val="008B0A9F"/>
    <w:rsid w:val="008B103B"/>
    <w:rsid w:val="008B1102"/>
    <w:rsid w:val="008B126F"/>
    <w:rsid w:val="008B17B6"/>
    <w:rsid w:val="008B193A"/>
    <w:rsid w:val="008B1963"/>
    <w:rsid w:val="008B24F5"/>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4243"/>
    <w:rsid w:val="008C4CB3"/>
    <w:rsid w:val="008C57AC"/>
    <w:rsid w:val="008C6582"/>
    <w:rsid w:val="008C6838"/>
    <w:rsid w:val="008C6865"/>
    <w:rsid w:val="008C6CA2"/>
    <w:rsid w:val="008D0FF4"/>
    <w:rsid w:val="008D1021"/>
    <w:rsid w:val="008D10EE"/>
    <w:rsid w:val="008D150B"/>
    <w:rsid w:val="008D16C1"/>
    <w:rsid w:val="008D1A18"/>
    <w:rsid w:val="008D2A54"/>
    <w:rsid w:val="008D2C2A"/>
    <w:rsid w:val="008D3842"/>
    <w:rsid w:val="008D489F"/>
    <w:rsid w:val="008D49C8"/>
    <w:rsid w:val="008D4A72"/>
    <w:rsid w:val="008D611D"/>
    <w:rsid w:val="008D71C0"/>
    <w:rsid w:val="008D7410"/>
    <w:rsid w:val="008D76B0"/>
    <w:rsid w:val="008D7E5D"/>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3BF"/>
    <w:rsid w:val="009026E9"/>
    <w:rsid w:val="00902874"/>
    <w:rsid w:val="00904F76"/>
    <w:rsid w:val="00905495"/>
    <w:rsid w:val="00905846"/>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0B4"/>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782"/>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0BF4"/>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049E"/>
    <w:rsid w:val="009811BB"/>
    <w:rsid w:val="009842EE"/>
    <w:rsid w:val="00984C5F"/>
    <w:rsid w:val="00985433"/>
    <w:rsid w:val="009859D5"/>
    <w:rsid w:val="00987913"/>
    <w:rsid w:val="00987C48"/>
    <w:rsid w:val="0099000D"/>
    <w:rsid w:val="009916E5"/>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4DF9"/>
    <w:rsid w:val="009C51CB"/>
    <w:rsid w:val="009C5F88"/>
    <w:rsid w:val="009C6D3B"/>
    <w:rsid w:val="009C6DB3"/>
    <w:rsid w:val="009C7CC8"/>
    <w:rsid w:val="009D09F7"/>
    <w:rsid w:val="009D1EAA"/>
    <w:rsid w:val="009D2856"/>
    <w:rsid w:val="009D38D4"/>
    <w:rsid w:val="009D3992"/>
    <w:rsid w:val="009D471F"/>
    <w:rsid w:val="009D47F8"/>
    <w:rsid w:val="009D4ABF"/>
    <w:rsid w:val="009D5641"/>
    <w:rsid w:val="009D6C4D"/>
    <w:rsid w:val="009D6DC4"/>
    <w:rsid w:val="009D7A81"/>
    <w:rsid w:val="009E0276"/>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8CB"/>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27177"/>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058B"/>
    <w:rsid w:val="00A41088"/>
    <w:rsid w:val="00A4183A"/>
    <w:rsid w:val="00A41D4E"/>
    <w:rsid w:val="00A41F7E"/>
    <w:rsid w:val="00A42D00"/>
    <w:rsid w:val="00A42FC9"/>
    <w:rsid w:val="00A4319C"/>
    <w:rsid w:val="00A44458"/>
    <w:rsid w:val="00A445B7"/>
    <w:rsid w:val="00A446C5"/>
    <w:rsid w:val="00A45D8A"/>
    <w:rsid w:val="00A45DDC"/>
    <w:rsid w:val="00A47C91"/>
    <w:rsid w:val="00A50375"/>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3E"/>
    <w:rsid w:val="00A54A40"/>
    <w:rsid w:val="00A551D4"/>
    <w:rsid w:val="00A5584C"/>
    <w:rsid w:val="00A5628A"/>
    <w:rsid w:val="00A573A9"/>
    <w:rsid w:val="00A57D4E"/>
    <w:rsid w:val="00A60C6C"/>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9BC"/>
    <w:rsid w:val="00A71CAA"/>
    <w:rsid w:val="00A71F05"/>
    <w:rsid w:val="00A71FCD"/>
    <w:rsid w:val="00A72B79"/>
    <w:rsid w:val="00A72C39"/>
    <w:rsid w:val="00A72F25"/>
    <w:rsid w:val="00A734A5"/>
    <w:rsid w:val="00A73B91"/>
    <w:rsid w:val="00A73E33"/>
    <w:rsid w:val="00A73F7F"/>
    <w:rsid w:val="00A7439E"/>
    <w:rsid w:val="00A744E0"/>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88E"/>
    <w:rsid w:val="00AB6A15"/>
    <w:rsid w:val="00AB6A18"/>
    <w:rsid w:val="00AB6AFA"/>
    <w:rsid w:val="00AB7814"/>
    <w:rsid w:val="00AB7F2D"/>
    <w:rsid w:val="00AC03EB"/>
    <w:rsid w:val="00AC122A"/>
    <w:rsid w:val="00AC14F1"/>
    <w:rsid w:val="00AC195F"/>
    <w:rsid w:val="00AC1FF5"/>
    <w:rsid w:val="00AC24CB"/>
    <w:rsid w:val="00AC2DCA"/>
    <w:rsid w:val="00AC36F3"/>
    <w:rsid w:val="00AC38A6"/>
    <w:rsid w:val="00AC3BD2"/>
    <w:rsid w:val="00AC3DC6"/>
    <w:rsid w:val="00AC406A"/>
    <w:rsid w:val="00AC413C"/>
    <w:rsid w:val="00AC44C3"/>
    <w:rsid w:val="00AC490F"/>
    <w:rsid w:val="00AC4E18"/>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C20"/>
    <w:rsid w:val="00AF7E22"/>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1D66"/>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57A01"/>
    <w:rsid w:val="00B605F7"/>
    <w:rsid w:val="00B60E59"/>
    <w:rsid w:val="00B60EF2"/>
    <w:rsid w:val="00B6105C"/>
    <w:rsid w:val="00B617FF"/>
    <w:rsid w:val="00B61FFB"/>
    <w:rsid w:val="00B62750"/>
    <w:rsid w:val="00B627A5"/>
    <w:rsid w:val="00B633D2"/>
    <w:rsid w:val="00B63BCA"/>
    <w:rsid w:val="00B6464C"/>
    <w:rsid w:val="00B6501B"/>
    <w:rsid w:val="00B6681D"/>
    <w:rsid w:val="00B66F66"/>
    <w:rsid w:val="00B674F0"/>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85"/>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B7E95"/>
    <w:rsid w:val="00BC019B"/>
    <w:rsid w:val="00BC100F"/>
    <w:rsid w:val="00BC1B7C"/>
    <w:rsid w:val="00BC2132"/>
    <w:rsid w:val="00BC335D"/>
    <w:rsid w:val="00BC3C0E"/>
    <w:rsid w:val="00BC4DDC"/>
    <w:rsid w:val="00BC52C9"/>
    <w:rsid w:val="00BC5ABD"/>
    <w:rsid w:val="00BC5E99"/>
    <w:rsid w:val="00BC6BDA"/>
    <w:rsid w:val="00BC6DAD"/>
    <w:rsid w:val="00BC6EB8"/>
    <w:rsid w:val="00BC7215"/>
    <w:rsid w:val="00BD10C8"/>
    <w:rsid w:val="00BD16E8"/>
    <w:rsid w:val="00BD255E"/>
    <w:rsid w:val="00BD2B11"/>
    <w:rsid w:val="00BD2C6A"/>
    <w:rsid w:val="00BD2E63"/>
    <w:rsid w:val="00BD3890"/>
    <w:rsid w:val="00BD3CC5"/>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6D"/>
    <w:rsid w:val="00BF108E"/>
    <w:rsid w:val="00BF10DB"/>
    <w:rsid w:val="00BF15F0"/>
    <w:rsid w:val="00BF1BD6"/>
    <w:rsid w:val="00BF1C6B"/>
    <w:rsid w:val="00BF26CD"/>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074A3"/>
    <w:rsid w:val="00C1086B"/>
    <w:rsid w:val="00C11413"/>
    <w:rsid w:val="00C11671"/>
    <w:rsid w:val="00C119C7"/>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B96"/>
    <w:rsid w:val="00C23D65"/>
    <w:rsid w:val="00C24009"/>
    <w:rsid w:val="00C24756"/>
    <w:rsid w:val="00C2551F"/>
    <w:rsid w:val="00C25844"/>
    <w:rsid w:val="00C25F1B"/>
    <w:rsid w:val="00C25FD4"/>
    <w:rsid w:val="00C26C41"/>
    <w:rsid w:val="00C26CA2"/>
    <w:rsid w:val="00C26E40"/>
    <w:rsid w:val="00C271DB"/>
    <w:rsid w:val="00C30062"/>
    <w:rsid w:val="00C31072"/>
    <w:rsid w:val="00C3162E"/>
    <w:rsid w:val="00C31CF1"/>
    <w:rsid w:val="00C32603"/>
    <w:rsid w:val="00C32D15"/>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4C9A"/>
    <w:rsid w:val="00C6664D"/>
    <w:rsid w:val="00C66CBE"/>
    <w:rsid w:val="00C6718D"/>
    <w:rsid w:val="00C67342"/>
    <w:rsid w:val="00C67743"/>
    <w:rsid w:val="00C67EEE"/>
    <w:rsid w:val="00C67F8A"/>
    <w:rsid w:val="00C702B4"/>
    <w:rsid w:val="00C704C0"/>
    <w:rsid w:val="00C70B92"/>
    <w:rsid w:val="00C70F8D"/>
    <w:rsid w:val="00C721A7"/>
    <w:rsid w:val="00C7227F"/>
    <w:rsid w:val="00C7284E"/>
    <w:rsid w:val="00C7380A"/>
    <w:rsid w:val="00C73E1E"/>
    <w:rsid w:val="00C7417D"/>
    <w:rsid w:val="00C7417F"/>
    <w:rsid w:val="00C7489A"/>
    <w:rsid w:val="00C74DF9"/>
    <w:rsid w:val="00C75459"/>
    <w:rsid w:val="00C759F2"/>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85"/>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0F8C"/>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344A"/>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355B"/>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149"/>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029"/>
    <w:rsid w:val="00D76412"/>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2596"/>
    <w:rsid w:val="00D931D7"/>
    <w:rsid w:val="00D93AEB"/>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09B3"/>
    <w:rsid w:val="00DD1700"/>
    <w:rsid w:val="00DD170C"/>
    <w:rsid w:val="00DD1BAB"/>
    <w:rsid w:val="00DD1DDF"/>
    <w:rsid w:val="00DD2076"/>
    <w:rsid w:val="00DD209E"/>
    <w:rsid w:val="00DD249B"/>
    <w:rsid w:val="00DD2E59"/>
    <w:rsid w:val="00DD3B2F"/>
    <w:rsid w:val="00DD3C36"/>
    <w:rsid w:val="00DD4032"/>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204"/>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6BB8"/>
    <w:rsid w:val="00E07820"/>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0C23"/>
    <w:rsid w:val="00E22500"/>
    <w:rsid w:val="00E22F68"/>
    <w:rsid w:val="00E23819"/>
    <w:rsid w:val="00E243F9"/>
    <w:rsid w:val="00E24B39"/>
    <w:rsid w:val="00E24FB3"/>
    <w:rsid w:val="00E25068"/>
    <w:rsid w:val="00E2557A"/>
    <w:rsid w:val="00E25D81"/>
    <w:rsid w:val="00E26AF2"/>
    <w:rsid w:val="00E26FAE"/>
    <w:rsid w:val="00E2762E"/>
    <w:rsid w:val="00E303E0"/>
    <w:rsid w:val="00E30408"/>
    <w:rsid w:val="00E30EFB"/>
    <w:rsid w:val="00E31A67"/>
    <w:rsid w:val="00E320DA"/>
    <w:rsid w:val="00E32B86"/>
    <w:rsid w:val="00E33548"/>
    <w:rsid w:val="00E33AC2"/>
    <w:rsid w:val="00E33AD1"/>
    <w:rsid w:val="00E33F8E"/>
    <w:rsid w:val="00E34115"/>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164"/>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9A0"/>
    <w:rsid w:val="00E70D51"/>
    <w:rsid w:val="00E71289"/>
    <w:rsid w:val="00E71B13"/>
    <w:rsid w:val="00E71DC2"/>
    <w:rsid w:val="00E72564"/>
    <w:rsid w:val="00E73010"/>
    <w:rsid w:val="00E73425"/>
    <w:rsid w:val="00E74359"/>
    <w:rsid w:val="00E74603"/>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4D9"/>
    <w:rsid w:val="00EC1F02"/>
    <w:rsid w:val="00EC2129"/>
    <w:rsid w:val="00EC24FD"/>
    <w:rsid w:val="00EC2961"/>
    <w:rsid w:val="00EC2A7A"/>
    <w:rsid w:val="00EC34DF"/>
    <w:rsid w:val="00EC3999"/>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6E9"/>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52D"/>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29ED"/>
    <w:rsid w:val="00F14514"/>
    <w:rsid w:val="00F148B2"/>
    <w:rsid w:val="00F14BF2"/>
    <w:rsid w:val="00F15C6C"/>
    <w:rsid w:val="00F16673"/>
    <w:rsid w:val="00F174FF"/>
    <w:rsid w:val="00F1779C"/>
    <w:rsid w:val="00F1780A"/>
    <w:rsid w:val="00F17D5E"/>
    <w:rsid w:val="00F17FDA"/>
    <w:rsid w:val="00F2011D"/>
    <w:rsid w:val="00F209C2"/>
    <w:rsid w:val="00F21CE8"/>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33C"/>
    <w:rsid w:val="00F41F7F"/>
    <w:rsid w:val="00F42046"/>
    <w:rsid w:val="00F420EB"/>
    <w:rsid w:val="00F442C1"/>
    <w:rsid w:val="00F44F99"/>
    <w:rsid w:val="00F456DC"/>
    <w:rsid w:val="00F45B18"/>
    <w:rsid w:val="00F46F1E"/>
    <w:rsid w:val="00F5027A"/>
    <w:rsid w:val="00F50E37"/>
    <w:rsid w:val="00F512E8"/>
    <w:rsid w:val="00F5182F"/>
    <w:rsid w:val="00F51E04"/>
    <w:rsid w:val="00F521A6"/>
    <w:rsid w:val="00F52B84"/>
    <w:rsid w:val="00F531FC"/>
    <w:rsid w:val="00F54A4A"/>
    <w:rsid w:val="00F562DE"/>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0EFD"/>
    <w:rsid w:val="00F81F7D"/>
    <w:rsid w:val="00F82EB6"/>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A15"/>
    <w:rsid w:val="00FB4BA9"/>
    <w:rsid w:val="00FB4C94"/>
    <w:rsid w:val="00FB596C"/>
    <w:rsid w:val="00FB5CF8"/>
    <w:rsid w:val="00FB6248"/>
    <w:rsid w:val="00FB6BE5"/>
    <w:rsid w:val="00FC044C"/>
    <w:rsid w:val="00FC0A4B"/>
    <w:rsid w:val="00FC1313"/>
    <w:rsid w:val="00FC21A5"/>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09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DB7F82"/>
    <w:rsid w:val="09E7370B"/>
    <w:rsid w:val="09FF14CE"/>
    <w:rsid w:val="0A800311"/>
    <w:rsid w:val="0A970165"/>
    <w:rsid w:val="0B6D3222"/>
    <w:rsid w:val="0BCF050F"/>
    <w:rsid w:val="0D0A5D09"/>
    <w:rsid w:val="0D533931"/>
    <w:rsid w:val="0D8060B5"/>
    <w:rsid w:val="0E0A7653"/>
    <w:rsid w:val="0E7526B5"/>
    <w:rsid w:val="10435247"/>
    <w:rsid w:val="10817ED7"/>
    <w:rsid w:val="11647498"/>
    <w:rsid w:val="11885DD6"/>
    <w:rsid w:val="11D3202B"/>
    <w:rsid w:val="12430C37"/>
    <w:rsid w:val="125E6002"/>
    <w:rsid w:val="12CC0B5C"/>
    <w:rsid w:val="12F05378"/>
    <w:rsid w:val="12FE3A23"/>
    <w:rsid w:val="130A06A1"/>
    <w:rsid w:val="13297A0D"/>
    <w:rsid w:val="132C75E5"/>
    <w:rsid w:val="14DB3B34"/>
    <w:rsid w:val="159D60AA"/>
    <w:rsid w:val="160E074B"/>
    <w:rsid w:val="161533F4"/>
    <w:rsid w:val="166951DF"/>
    <w:rsid w:val="168A7548"/>
    <w:rsid w:val="168E35F3"/>
    <w:rsid w:val="16A91B3E"/>
    <w:rsid w:val="16D704B9"/>
    <w:rsid w:val="16E355E5"/>
    <w:rsid w:val="170C0021"/>
    <w:rsid w:val="178072CB"/>
    <w:rsid w:val="17C5097C"/>
    <w:rsid w:val="17CD7F2C"/>
    <w:rsid w:val="186B67DE"/>
    <w:rsid w:val="18AC3253"/>
    <w:rsid w:val="18BE52AD"/>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4F0873"/>
    <w:rsid w:val="21560235"/>
    <w:rsid w:val="217D6135"/>
    <w:rsid w:val="21913DBA"/>
    <w:rsid w:val="22564C3B"/>
    <w:rsid w:val="227117F0"/>
    <w:rsid w:val="22E91128"/>
    <w:rsid w:val="23097199"/>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1F3010"/>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3B601F"/>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11DE7"/>
    <w:rsid w:val="3F537196"/>
    <w:rsid w:val="3F662721"/>
    <w:rsid w:val="3F83211A"/>
    <w:rsid w:val="3F9F114C"/>
    <w:rsid w:val="3FBE237E"/>
    <w:rsid w:val="3FD008F7"/>
    <w:rsid w:val="3FDC2B95"/>
    <w:rsid w:val="4062059F"/>
    <w:rsid w:val="41122B16"/>
    <w:rsid w:val="416870FB"/>
    <w:rsid w:val="41912701"/>
    <w:rsid w:val="41CE7D37"/>
    <w:rsid w:val="41D85F1B"/>
    <w:rsid w:val="41FA15A4"/>
    <w:rsid w:val="42117E11"/>
    <w:rsid w:val="42355F51"/>
    <w:rsid w:val="42465FDE"/>
    <w:rsid w:val="42884742"/>
    <w:rsid w:val="429144B6"/>
    <w:rsid w:val="42AE5AE3"/>
    <w:rsid w:val="42CF2657"/>
    <w:rsid w:val="43205265"/>
    <w:rsid w:val="435A19B8"/>
    <w:rsid w:val="43B97087"/>
    <w:rsid w:val="43C85B6C"/>
    <w:rsid w:val="444075FB"/>
    <w:rsid w:val="44717C3B"/>
    <w:rsid w:val="44BE65E0"/>
    <w:rsid w:val="45045AC7"/>
    <w:rsid w:val="455B6399"/>
    <w:rsid w:val="455F7633"/>
    <w:rsid w:val="458E64E3"/>
    <w:rsid w:val="45AB3102"/>
    <w:rsid w:val="465D36F9"/>
    <w:rsid w:val="47044815"/>
    <w:rsid w:val="471D5D1F"/>
    <w:rsid w:val="472A4DB0"/>
    <w:rsid w:val="4738342D"/>
    <w:rsid w:val="475A6773"/>
    <w:rsid w:val="47B91F02"/>
    <w:rsid w:val="48506B8D"/>
    <w:rsid w:val="486C005E"/>
    <w:rsid w:val="49FF35F0"/>
    <w:rsid w:val="4A8E43FC"/>
    <w:rsid w:val="4AD651F5"/>
    <w:rsid w:val="4B1005E7"/>
    <w:rsid w:val="4B582BD7"/>
    <w:rsid w:val="4B7D77C9"/>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B6128E6"/>
    <w:rsid w:val="5BE31A5B"/>
    <w:rsid w:val="5C5408DC"/>
    <w:rsid w:val="5CAC13FD"/>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1FD1DF9"/>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67CBC"/>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CB40D8"/>
    <w:rsid w:val="7DD341AE"/>
    <w:rsid w:val="7E18219E"/>
    <w:rsid w:val="7E206EC8"/>
    <w:rsid w:val="7E286A6E"/>
    <w:rsid w:val="7E490FDF"/>
    <w:rsid w:val="7E4D66F1"/>
    <w:rsid w:val="7E750D36"/>
    <w:rsid w:val="7EA94C29"/>
    <w:rsid w:val="7F6B1B37"/>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9"/>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39"/>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66"/>
    <w:unhideWhenUsed/>
    <w:qFormat/>
    <w:uiPriority w:val="99"/>
    <w:rPr>
      <w:rFonts w:ascii="宋体"/>
      <w:sz w:val="18"/>
      <w:szCs w:val="18"/>
    </w:rPr>
  </w:style>
  <w:style w:type="paragraph" w:styleId="9">
    <w:name w:val="annotation text"/>
    <w:basedOn w:val="1"/>
    <w:link w:val="31"/>
    <w:unhideWhenUsed/>
    <w:qFormat/>
    <w:uiPriority w:val="99"/>
    <w:pPr>
      <w:jc w:val="left"/>
    </w:pPr>
  </w:style>
  <w:style w:type="paragraph" w:styleId="10">
    <w:name w:val="Body Text"/>
    <w:basedOn w:val="1"/>
    <w:link w:val="74"/>
    <w:unhideWhenUsed/>
    <w:qFormat/>
    <w:uiPriority w:val="99"/>
    <w:pPr>
      <w:spacing w:after="120"/>
    </w:pPr>
  </w:style>
  <w:style w:type="paragraph" w:styleId="11">
    <w:name w:val="Body Text Indent"/>
    <w:basedOn w:val="1"/>
    <w:link w:val="50"/>
    <w:qFormat/>
    <w:uiPriority w:val="0"/>
    <w:pPr>
      <w:spacing w:line="200" w:lineRule="atLeast"/>
      <w:ind w:firstLine="301"/>
    </w:pPr>
    <w:rPr>
      <w:rFonts w:ascii="宋体" w:hAnsi="Courier New"/>
      <w:spacing w:val="-4"/>
      <w:sz w:val="18"/>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36"/>
    <w:qFormat/>
    <w:uiPriority w:val="0"/>
    <w:pPr>
      <w:spacing w:beforeLines="50" w:afterLines="50" w:line="400" w:lineRule="atLeas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qFormat/>
    <w:uiPriority w:val="0"/>
    <w:rPr>
      <w:sz w:val="18"/>
      <w:szCs w:val="18"/>
    </w:rPr>
  </w:style>
  <w:style w:type="paragraph" w:styleId="16">
    <w:name w:val="footer"/>
    <w:basedOn w:val="1"/>
    <w:link w:val="30"/>
    <w:qFormat/>
    <w:uiPriority w:val="99"/>
    <w:pPr>
      <w:tabs>
        <w:tab w:val="center" w:pos="4153"/>
        <w:tab w:val="right" w:pos="8306"/>
      </w:tabs>
      <w:snapToGrid w:val="0"/>
      <w:jc w:val="left"/>
    </w:pPr>
    <w:rPr>
      <w:sz w:val="18"/>
      <w:szCs w:val="18"/>
    </w:rPr>
  </w:style>
  <w:style w:type="paragraph" w:styleId="17">
    <w:name w:val="header"/>
    <w:basedOn w:val="1"/>
    <w:qFormat/>
    <w:uiPriority w:val="0"/>
    <w:pP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1">
    <w:name w:val="annotation subject"/>
    <w:basedOn w:val="9"/>
    <w:next w:val="9"/>
    <w:link w:val="48"/>
    <w:unhideWhenUsed/>
    <w:qFormat/>
    <w:uiPriority w:val="99"/>
    <w:rPr>
      <w:b/>
      <w:bCs/>
    </w:rPr>
  </w:style>
  <w:style w:type="paragraph" w:styleId="22">
    <w:name w:val="Body Text First Indent 2"/>
    <w:basedOn w:val="11"/>
    <w:unhideWhenUsed/>
    <w:qFormat/>
    <w:uiPriority w:val="99"/>
    <w:pPr>
      <w:ind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styleId="29">
    <w:name w:val="annotation reference"/>
    <w:unhideWhenUsed/>
    <w:qFormat/>
    <w:uiPriority w:val="99"/>
    <w:rPr>
      <w:sz w:val="21"/>
      <w:szCs w:val="21"/>
    </w:rPr>
  </w:style>
  <w:style w:type="character" w:customStyle="1" w:styleId="30">
    <w:name w:val="页脚 字符"/>
    <w:link w:val="16"/>
    <w:qFormat/>
    <w:uiPriority w:val="99"/>
    <w:rPr>
      <w:kern w:val="2"/>
      <w:sz w:val="18"/>
      <w:szCs w:val="18"/>
    </w:rPr>
  </w:style>
  <w:style w:type="character" w:customStyle="1" w:styleId="31">
    <w:name w:val="批注文字 字符"/>
    <w:link w:val="9"/>
    <w:qFormat/>
    <w:uiPriority w:val="99"/>
    <w:rPr>
      <w:kern w:val="2"/>
      <w:sz w:val="28"/>
      <w:szCs w:val="24"/>
    </w:rPr>
  </w:style>
  <w:style w:type="character" w:customStyle="1" w:styleId="32">
    <w:name w:val="纯文本 Char1"/>
    <w:qFormat/>
    <w:uiPriority w:val="0"/>
    <w:rPr>
      <w:rFonts w:ascii="宋体" w:hAnsi="Courier New"/>
      <w:kern w:val="2"/>
      <w:sz w:val="21"/>
    </w:rPr>
  </w:style>
  <w:style w:type="character" w:customStyle="1" w:styleId="33">
    <w:name w:val="纯文本 Char"/>
    <w:qFormat/>
    <w:uiPriority w:val="99"/>
    <w:rPr>
      <w:rFonts w:ascii="宋体" w:hAnsi="Courier New"/>
      <w:kern w:val="2"/>
      <w:sz w:val="24"/>
      <w:szCs w:val="24"/>
    </w:rPr>
  </w:style>
  <w:style w:type="character" w:customStyle="1" w:styleId="34">
    <w:name w:val="maywed421"/>
    <w:qFormat/>
    <w:uiPriority w:val="0"/>
    <w:rPr>
      <w:color w:val="366FB6"/>
      <w:u w:val="none"/>
    </w:rPr>
  </w:style>
  <w:style w:type="character" w:customStyle="1" w:styleId="35">
    <w:name w:val="标题 1 Char Char"/>
    <w:qFormat/>
    <w:uiPriority w:val="0"/>
    <w:rPr>
      <w:rFonts w:eastAsia="宋体"/>
      <w:b/>
      <w:spacing w:val="-2"/>
      <w:sz w:val="24"/>
      <w:lang w:val="en-US" w:eastAsia="zh-CN" w:bidi="ar-SA"/>
    </w:rPr>
  </w:style>
  <w:style w:type="character" w:customStyle="1" w:styleId="36">
    <w:name w:val="纯文本 字符"/>
    <w:link w:val="13"/>
    <w:qFormat/>
    <w:uiPriority w:val="0"/>
    <w:rPr>
      <w:rFonts w:ascii="宋体" w:hAnsi="Courier New"/>
      <w:kern w:val="2"/>
      <w:sz w:val="24"/>
      <w:szCs w:val="24"/>
    </w:rPr>
  </w:style>
  <w:style w:type="character" w:customStyle="1" w:styleId="37">
    <w:name w:val="正文文本缩进 字符1"/>
    <w:qFormat/>
    <w:uiPriority w:val="0"/>
    <w:rPr>
      <w:rFonts w:ascii="宋体" w:hAnsi="Courier New"/>
      <w:spacing w:val="-4"/>
      <w:kern w:val="2"/>
      <w:sz w:val="18"/>
    </w:rPr>
  </w:style>
  <w:style w:type="character" w:customStyle="1" w:styleId="38">
    <w:name w:val="标题 2 字符"/>
    <w:link w:val="3"/>
    <w:semiHidden/>
    <w:qFormat/>
    <w:uiPriority w:val="9"/>
    <w:rPr>
      <w:rFonts w:ascii="Cambria" w:hAnsi="Cambria" w:eastAsia="宋体" w:cs="Times New Roman"/>
      <w:b/>
      <w:bCs/>
      <w:kern w:val="2"/>
      <w:sz w:val="32"/>
      <w:szCs w:val="32"/>
    </w:rPr>
  </w:style>
  <w:style w:type="character" w:customStyle="1" w:styleId="39">
    <w:name w:val="正文缩进 字符"/>
    <w:link w:val="6"/>
    <w:qFormat/>
    <w:uiPriority w:val="0"/>
    <w:rPr>
      <w:rFonts w:eastAsia="宋体"/>
      <w:kern w:val="2"/>
      <w:sz w:val="21"/>
      <w:lang w:val="en-US" w:eastAsia="zh-CN" w:bidi="ar-SA"/>
    </w:rPr>
  </w:style>
  <w:style w:type="character" w:customStyle="1" w:styleId="40">
    <w:name w:val="black601"/>
    <w:qFormat/>
    <w:uiPriority w:val="0"/>
    <w:rPr>
      <w:color w:val="666666"/>
    </w:rPr>
  </w:style>
  <w:style w:type="character" w:customStyle="1" w:styleId="41">
    <w:name w:val="访问过的超链接1"/>
    <w:unhideWhenUsed/>
    <w:qFormat/>
    <w:uiPriority w:val="99"/>
    <w:rPr>
      <w:color w:val="800080"/>
      <w:u w:val="single"/>
    </w:rPr>
  </w:style>
  <w:style w:type="character" w:customStyle="1" w:styleId="42">
    <w:name w:val="正文文本缩进 字符"/>
    <w:qFormat/>
    <w:uiPriority w:val="0"/>
    <w:rPr>
      <w:rFonts w:ascii="宋体" w:hAnsi="Courier New"/>
      <w:spacing w:val="-4"/>
      <w:kern w:val="2"/>
      <w:sz w:val="18"/>
    </w:rPr>
  </w:style>
  <w:style w:type="character" w:customStyle="1" w:styleId="43">
    <w:name w:val="z-窗体顶端 Char"/>
    <w:link w:val="44"/>
    <w:semiHidden/>
    <w:qFormat/>
    <w:uiPriority w:val="99"/>
    <w:rPr>
      <w:rFonts w:ascii="Arial" w:hAnsi="Arial"/>
      <w:vanish/>
      <w:sz w:val="16"/>
      <w:szCs w:val="16"/>
    </w:rPr>
  </w:style>
  <w:style w:type="paragraph" w:customStyle="1" w:styleId="44">
    <w:name w:val="z-窗体顶端1"/>
    <w:basedOn w:val="1"/>
    <w:next w:val="1"/>
    <w:link w:val="43"/>
    <w:unhideWhenUsed/>
    <w:qFormat/>
    <w:uiPriority w:val="99"/>
    <w:pPr>
      <w:widowControl/>
      <w:pBdr>
        <w:bottom w:val="single" w:color="auto" w:sz="6" w:space="1"/>
      </w:pBdr>
      <w:jc w:val="center"/>
    </w:pPr>
    <w:rPr>
      <w:rFonts w:ascii="Arial" w:hAnsi="Arial"/>
      <w:vanish/>
      <w:kern w:val="0"/>
      <w:sz w:val="16"/>
      <w:szCs w:val="16"/>
    </w:rPr>
  </w:style>
  <w:style w:type="character" w:customStyle="1" w:styleId="45">
    <w:name w:val="sub_title s0"/>
    <w:basedOn w:val="25"/>
    <w:qFormat/>
    <w:uiPriority w:val="0"/>
  </w:style>
  <w:style w:type="character" w:customStyle="1" w:styleId="46">
    <w:name w:val="z-窗体底端 Char"/>
    <w:link w:val="47"/>
    <w:semiHidden/>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kern w:val="0"/>
      <w:sz w:val="16"/>
      <w:szCs w:val="16"/>
    </w:rPr>
  </w:style>
  <w:style w:type="character" w:customStyle="1" w:styleId="48">
    <w:name w:val="批注主题 字符"/>
    <w:link w:val="21"/>
    <w:semiHidden/>
    <w:qFormat/>
    <w:uiPriority w:val="99"/>
    <w:rPr>
      <w:b/>
      <w:bCs/>
      <w:kern w:val="2"/>
      <w:sz w:val="28"/>
      <w:szCs w:val="24"/>
    </w:rPr>
  </w:style>
  <w:style w:type="character" w:customStyle="1" w:styleId="49">
    <w:name w:val="标题 3 字符"/>
    <w:link w:val="4"/>
    <w:semiHidden/>
    <w:qFormat/>
    <w:uiPriority w:val="9"/>
    <w:rPr>
      <w:b/>
      <w:bCs/>
      <w:kern w:val="2"/>
      <w:sz w:val="32"/>
      <w:szCs w:val="32"/>
    </w:rPr>
  </w:style>
  <w:style w:type="character" w:customStyle="1" w:styleId="50">
    <w:name w:val="正文文本缩进 字符2"/>
    <w:link w:val="11"/>
    <w:qFormat/>
    <w:uiPriority w:val="0"/>
    <w:rPr>
      <w:rFonts w:ascii="宋体" w:hAnsi="Courier New"/>
      <w:spacing w:val="-4"/>
      <w:kern w:val="2"/>
      <w:sz w:val="18"/>
    </w:rPr>
  </w:style>
  <w:style w:type="character" w:customStyle="1" w:styleId="51">
    <w:name w:val="标题 1 字符"/>
    <w:link w:val="2"/>
    <w:qFormat/>
    <w:uiPriority w:val="9"/>
    <w:rPr>
      <w:b/>
      <w:bCs/>
      <w:kern w:val="44"/>
      <w:sz w:val="44"/>
      <w:szCs w:val="44"/>
    </w:rPr>
  </w:style>
  <w:style w:type="paragraph" w:customStyle="1" w:styleId="5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3">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5">
    <w:name w:val="正文段"/>
    <w:basedOn w:val="1"/>
    <w:qFormat/>
    <w:uiPriority w:val="0"/>
    <w:pPr>
      <w:widowControl/>
      <w:snapToGrid w:val="0"/>
      <w:spacing w:afterLines="50"/>
      <w:ind w:firstLine="200" w:firstLineChars="200"/>
    </w:pPr>
    <w:rPr>
      <w:kern w:val="0"/>
      <w:sz w:val="24"/>
      <w:szCs w:val="20"/>
    </w:rPr>
  </w:style>
  <w:style w:type="paragraph" w:customStyle="1" w:styleId="56">
    <w:name w:val="彩色列表 - 强调文字颜色 11"/>
    <w:basedOn w:val="1"/>
    <w:qFormat/>
    <w:uiPriority w:val="34"/>
    <w:pPr>
      <w:ind w:firstLine="420" w:firstLineChars="200"/>
    </w:pPr>
    <w:rPr>
      <w:rFonts w:ascii="Calibri" w:hAnsi="Calibri"/>
      <w:sz w:val="21"/>
      <w:szCs w:val="22"/>
    </w:rPr>
  </w:style>
  <w:style w:type="paragraph" w:customStyle="1" w:styleId="57">
    <w:name w:val="List Paragraph1"/>
    <w:basedOn w:val="1"/>
    <w:qFormat/>
    <w:uiPriority w:val="0"/>
    <w:pPr>
      <w:ind w:firstLine="420" w:firstLineChars="200"/>
    </w:pPr>
    <w:rPr>
      <w:sz w:val="21"/>
    </w:rPr>
  </w:style>
  <w:style w:type="paragraph" w:customStyle="1" w:styleId="58">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59">
    <w:name w:val="Char Char Char Char1"/>
    <w:basedOn w:val="1"/>
    <w:qFormat/>
    <w:uiPriority w:val="0"/>
    <w:rPr>
      <w:rFonts w:ascii="Tahoma" w:hAnsi="Tahoma"/>
      <w:sz w:val="24"/>
      <w:szCs w:val="20"/>
    </w:rPr>
  </w:style>
  <w:style w:type="paragraph" w:customStyle="1" w:styleId="60">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61">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2">
    <w:name w:val="默认段落字体 Para Char Char Char Char Char Char Char Char Char1 Char Char Char Char"/>
    <w:basedOn w:val="1"/>
    <w:qFormat/>
    <w:uiPriority w:val="0"/>
    <w:rPr>
      <w:rFonts w:ascii="Tahoma" w:hAnsi="Tahoma"/>
      <w:sz w:val="24"/>
      <w:szCs w:val="20"/>
    </w:rPr>
  </w:style>
  <w:style w:type="paragraph" w:customStyle="1" w:styleId="6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65">
    <w:name w:val="批注文字 Char1"/>
    <w:semiHidden/>
    <w:qFormat/>
    <w:locked/>
    <w:uiPriority w:val="99"/>
    <w:rPr>
      <w:kern w:val="2"/>
      <w:sz w:val="28"/>
      <w:szCs w:val="24"/>
    </w:rPr>
  </w:style>
  <w:style w:type="character" w:customStyle="1" w:styleId="66">
    <w:name w:val="文档结构图 字符"/>
    <w:basedOn w:val="25"/>
    <w:link w:val="8"/>
    <w:semiHidden/>
    <w:qFormat/>
    <w:uiPriority w:val="99"/>
    <w:rPr>
      <w:rFonts w:ascii="宋体"/>
      <w:kern w:val="2"/>
      <w:sz w:val="18"/>
      <w:szCs w:val="18"/>
    </w:rPr>
  </w:style>
  <w:style w:type="paragraph" w:customStyle="1" w:styleId="67">
    <w:name w:val="列表段落1"/>
    <w:basedOn w:val="1"/>
    <w:qFormat/>
    <w:uiPriority w:val="34"/>
    <w:pPr>
      <w:ind w:firstLine="420" w:firstLineChars="200"/>
    </w:pPr>
  </w:style>
  <w:style w:type="character" w:customStyle="1" w:styleId="68">
    <w:name w:val="未处理的提及1"/>
    <w:basedOn w:val="25"/>
    <w:unhideWhenUsed/>
    <w:qFormat/>
    <w:uiPriority w:val="99"/>
    <w:rPr>
      <w:color w:val="605E5C"/>
      <w:shd w:val="clear" w:color="auto" w:fill="E1DFDD"/>
    </w:rPr>
  </w:style>
  <w:style w:type="character" w:customStyle="1" w:styleId="69">
    <w:name w:val="未处理的提及2"/>
    <w:basedOn w:val="25"/>
    <w:unhideWhenUsed/>
    <w:qFormat/>
    <w:uiPriority w:val="99"/>
    <w:rPr>
      <w:color w:val="605E5C"/>
      <w:shd w:val="clear" w:color="auto" w:fill="E1DFDD"/>
    </w:rPr>
  </w:style>
  <w:style w:type="character" w:customStyle="1" w:styleId="70">
    <w:name w:val="未处理的提及3"/>
    <w:basedOn w:val="25"/>
    <w:unhideWhenUsed/>
    <w:qFormat/>
    <w:uiPriority w:val="99"/>
    <w:rPr>
      <w:color w:val="605E5C"/>
      <w:shd w:val="clear" w:color="auto" w:fill="E1DFDD"/>
    </w:rPr>
  </w:style>
  <w:style w:type="character" w:customStyle="1" w:styleId="71">
    <w:name w:val="未处理的提及4"/>
    <w:basedOn w:val="25"/>
    <w:unhideWhenUsed/>
    <w:qFormat/>
    <w:uiPriority w:val="99"/>
    <w:rPr>
      <w:color w:val="605E5C"/>
      <w:shd w:val="clear" w:color="auto" w:fill="E1DFDD"/>
    </w:rPr>
  </w:style>
  <w:style w:type="paragraph" w:customStyle="1" w:styleId="72">
    <w:name w:val="正文2"/>
    <w:basedOn w:val="1"/>
    <w:link w:val="73"/>
    <w:qFormat/>
    <w:uiPriority w:val="0"/>
    <w:pPr>
      <w:spacing w:before="156" w:line="360" w:lineRule="auto"/>
      <w:ind w:firstLine="510" w:firstLineChars="200"/>
    </w:pPr>
    <w:rPr>
      <w:sz w:val="24"/>
      <w:szCs w:val="20"/>
    </w:rPr>
  </w:style>
  <w:style w:type="character" w:customStyle="1" w:styleId="73">
    <w:name w:val="正文2 Char Char"/>
    <w:link w:val="72"/>
    <w:qFormat/>
    <w:uiPriority w:val="0"/>
    <w:rPr>
      <w:kern w:val="2"/>
      <w:sz w:val="24"/>
    </w:rPr>
  </w:style>
  <w:style w:type="character" w:customStyle="1" w:styleId="74">
    <w:name w:val="正文文本 字符"/>
    <w:basedOn w:val="25"/>
    <w:link w:val="10"/>
    <w:semiHidden/>
    <w:qFormat/>
    <w:uiPriority w:val="99"/>
    <w:rPr>
      <w:kern w:val="2"/>
      <w:sz w:val="28"/>
      <w:szCs w:val="24"/>
    </w:rPr>
  </w:style>
  <w:style w:type="table" w:customStyle="1" w:styleId="75">
    <w:name w:val="网格型6"/>
    <w:basedOn w:val="23"/>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6">
    <w:name w:val="网格型7"/>
    <w:basedOn w:val="23"/>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7">
    <w:name w:val="修订1"/>
    <w:hidden/>
    <w:semiHidden/>
    <w:qFormat/>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45687</Words>
  <Characters>49189</Characters>
  <Lines>380</Lines>
  <Paragraphs>107</Paragraphs>
  <TotalTime>4</TotalTime>
  <ScaleCrop>false</ScaleCrop>
  <LinksUpToDate>false</LinksUpToDate>
  <CharactersWithSpaces>50304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2022-10-09T08:43:00Z</dcterms:created>
  <dc:creator>jj</dc:creator>
  <cp:lastModifiedBy>佳佳</cp:lastModifiedBy>
  <cp:lastPrinted>2018-06-25T10:02:00Z</cp:lastPrinted>
  <dcterms:modified xsi:type="dcterms:W3CDTF">2022-10-11T01:49:36Z</dcterms:modified>
  <dc:title>求是招标代理有限公司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110D5E82E2C44C2BA79C0682E74FC518</vt:lpwstr>
  </property>
</Properties>
</file>